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50C2C" w14:textId="77777777" w:rsidR="00FB599E" w:rsidRPr="000505FA" w:rsidRDefault="00FB599E" w:rsidP="00FB599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505F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Read me file – </w:t>
      </w:r>
      <w:proofErr w:type="spellStart"/>
      <w:r w:rsidRPr="000505FA">
        <w:rPr>
          <w:rFonts w:asciiTheme="majorBidi" w:hAnsiTheme="majorBidi" w:cstheme="majorBidi"/>
          <w:b/>
          <w:bCs/>
          <w:sz w:val="24"/>
          <w:szCs w:val="24"/>
          <w:u w:val="single"/>
        </w:rPr>
        <w:t>stata</w:t>
      </w:r>
      <w:proofErr w:type="spellEnd"/>
      <w:r w:rsidRPr="000505F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subdirectory</w:t>
      </w:r>
    </w:p>
    <w:p w14:paraId="0850E2BB" w14:textId="77777777" w:rsidR="00FB599E" w:rsidRPr="000505FA" w:rsidRDefault="00FB599E" w:rsidP="00FB599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2216E53F" w14:textId="77777777" w:rsidR="00FB599E" w:rsidRPr="000505FA" w:rsidRDefault="00FB599E" w:rsidP="00FB599E">
      <w:pPr>
        <w:bidi w:val="0"/>
        <w:rPr>
          <w:rFonts w:asciiTheme="majorBidi" w:hAnsiTheme="majorBidi" w:cstheme="majorBidi"/>
          <w:sz w:val="24"/>
          <w:szCs w:val="24"/>
        </w:rPr>
      </w:pPr>
      <w:r w:rsidRPr="000505FA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Pr="000505FA">
        <w:rPr>
          <w:rFonts w:asciiTheme="majorBidi" w:hAnsiTheme="majorBidi" w:cstheme="majorBidi"/>
          <w:sz w:val="24"/>
          <w:szCs w:val="24"/>
        </w:rPr>
        <w:t>stata</w:t>
      </w:r>
      <w:proofErr w:type="spellEnd"/>
      <w:r w:rsidRPr="000505FA">
        <w:rPr>
          <w:rFonts w:asciiTheme="majorBidi" w:hAnsiTheme="majorBidi" w:cstheme="majorBidi"/>
          <w:sz w:val="24"/>
          <w:szCs w:val="24"/>
        </w:rPr>
        <w:t xml:space="preserve"> subdirectory includes all the programs for the replication </w:t>
      </w:r>
      <w:proofErr w:type="gramStart"/>
      <w:r w:rsidRPr="000505FA">
        <w:rPr>
          <w:rFonts w:asciiTheme="majorBidi" w:hAnsiTheme="majorBidi" w:cstheme="majorBidi"/>
          <w:sz w:val="24"/>
          <w:szCs w:val="24"/>
        </w:rPr>
        <w:t>of</w:t>
      </w:r>
      <w:proofErr w:type="gramEnd"/>
      <w:r w:rsidRPr="000505FA">
        <w:rPr>
          <w:rFonts w:asciiTheme="majorBidi" w:hAnsiTheme="majorBidi" w:cstheme="majorBidi"/>
          <w:sz w:val="24"/>
          <w:szCs w:val="24"/>
        </w:rPr>
        <w:t>:</w:t>
      </w:r>
    </w:p>
    <w:p w14:paraId="63655609" w14:textId="77777777" w:rsidR="00FB599E" w:rsidRPr="000505FA" w:rsidRDefault="00FB599E" w:rsidP="00FB599E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0505FA">
        <w:rPr>
          <w:rFonts w:asciiTheme="majorBidi" w:hAnsiTheme="majorBidi" w:cstheme="majorBidi"/>
          <w:sz w:val="24"/>
          <w:szCs w:val="24"/>
        </w:rPr>
        <w:t>Table 1</w:t>
      </w:r>
    </w:p>
    <w:p w14:paraId="41A2814B" w14:textId="77777777" w:rsidR="00FB599E" w:rsidRPr="000505FA" w:rsidRDefault="00FB599E" w:rsidP="00FB599E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0505FA">
        <w:rPr>
          <w:rFonts w:asciiTheme="majorBidi" w:hAnsiTheme="majorBidi" w:cstheme="majorBidi"/>
          <w:sz w:val="24"/>
          <w:szCs w:val="24"/>
        </w:rPr>
        <w:t>Panel A of Table 3</w:t>
      </w:r>
    </w:p>
    <w:p w14:paraId="1246F4EA" w14:textId="77777777" w:rsidR="00A03E38" w:rsidRPr="000505FA" w:rsidRDefault="00A03E38" w:rsidP="00A03E38">
      <w:pPr>
        <w:bidi w:val="0"/>
        <w:rPr>
          <w:rFonts w:asciiTheme="majorBidi" w:hAnsiTheme="majorBidi" w:cstheme="majorBidi"/>
          <w:sz w:val="24"/>
          <w:szCs w:val="24"/>
        </w:rPr>
      </w:pPr>
      <w:r w:rsidRPr="000505FA">
        <w:rPr>
          <w:rFonts w:asciiTheme="majorBidi" w:hAnsiTheme="majorBidi" w:cstheme="majorBidi"/>
          <w:sz w:val="24"/>
          <w:szCs w:val="24"/>
        </w:rPr>
        <w:t xml:space="preserve">It also includes programs necessary for the generation of inputs to the </w:t>
      </w:r>
      <w:proofErr w:type="spellStart"/>
      <w:r w:rsidRPr="000505FA">
        <w:rPr>
          <w:rFonts w:asciiTheme="majorBidi" w:hAnsiTheme="majorBidi" w:cstheme="majorBidi"/>
          <w:sz w:val="24"/>
          <w:szCs w:val="24"/>
        </w:rPr>
        <w:t>matlab</w:t>
      </w:r>
      <w:proofErr w:type="spellEnd"/>
      <w:r w:rsidR="00647106" w:rsidRPr="000505FA">
        <w:rPr>
          <w:rFonts w:asciiTheme="majorBidi" w:hAnsiTheme="majorBidi" w:cstheme="majorBidi"/>
          <w:sz w:val="24"/>
          <w:szCs w:val="24"/>
        </w:rPr>
        <w:t xml:space="preserve"> code (most importantly the moments matched in the SMM procedure), </w:t>
      </w:r>
      <w:r w:rsidRPr="000505FA">
        <w:rPr>
          <w:rFonts w:asciiTheme="majorBidi" w:hAnsiTheme="majorBidi" w:cstheme="majorBidi"/>
          <w:sz w:val="24"/>
          <w:szCs w:val="24"/>
        </w:rPr>
        <w:t>which are then used for generating the rest of the tables and figures in the paper.</w:t>
      </w:r>
    </w:p>
    <w:p w14:paraId="472E603E" w14:textId="77777777" w:rsidR="009A03FE" w:rsidRPr="000505FA" w:rsidRDefault="009A03FE" w:rsidP="009A03FE">
      <w:pPr>
        <w:bidi w:val="0"/>
        <w:rPr>
          <w:rFonts w:asciiTheme="majorBidi" w:hAnsiTheme="majorBidi" w:cstheme="majorBidi"/>
          <w:sz w:val="24"/>
          <w:szCs w:val="24"/>
        </w:rPr>
      </w:pPr>
      <w:r w:rsidRPr="000505FA">
        <w:rPr>
          <w:rFonts w:asciiTheme="majorBidi" w:hAnsiTheme="majorBidi" w:cstheme="majorBidi"/>
          <w:sz w:val="24"/>
          <w:szCs w:val="24"/>
        </w:rPr>
        <w:t xml:space="preserve">The directory includes the following files: </w:t>
      </w:r>
    </w:p>
    <w:tbl>
      <w:tblPr>
        <w:tblW w:w="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7"/>
        <w:gridCol w:w="2557"/>
      </w:tblGrid>
      <w:tr w:rsidR="00647106" w:rsidRPr="000505FA" w14:paraId="7F1FAFB7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</w:tcPr>
          <w:p w14:paraId="592EFCF1" w14:textId="77777777" w:rsidR="00647106" w:rsidRPr="000505FA" w:rsidRDefault="00647106" w:rsidP="00647106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505FA">
              <w:rPr>
                <w:rFonts w:asciiTheme="majorBidi" w:hAnsiTheme="majorBidi" w:cstheme="majorBidi"/>
                <w:sz w:val="24"/>
                <w:szCs w:val="24"/>
              </w:rPr>
              <w:t>File name</w:t>
            </w:r>
          </w:p>
        </w:tc>
        <w:tc>
          <w:tcPr>
            <w:tcW w:w="2557" w:type="dxa"/>
          </w:tcPr>
          <w:p w14:paraId="7AAAA242" w14:textId="77777777" w:rsidR="00647106" w:rsidRPr="000505FA" w:rsidRDefault="00647106" w:rsidP="00647106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0505FA">
              <w:rPr>
                <w:rFonts w:asciiTheme="majorBidi" w:hAnsiTheme="majorBidi" w:cstheme="majorBidi"/>
                <w:sz w:val="24"/>
                <w:szCs w:val="24"/>
              </w:rPr>
              <w:t>Type</w:t>
            </w:r>
          </w:p>
        </w:tc>
      </w:tr>
      <w:tr w:rsidR="00647106" w:rsidRPr="000505FA" w14:paraId="66511F17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</w:tcPr>
          <w:p w14:paraId="7DA4F57D" w14:textId="77777777" w:rsidR="00647106" w:rsidRPr="000505FA" w:rsidRDefault="00647106" w:rsidP="00647106">
            <w:pPr>
              <w:bidi w:val="0"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505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Input files</w:t>
            </w:r>
          </w:p>
        </w:tc>
        <w:tc>
          <w:tcPr>
            <w:tcW w:w="2557" w:type="dxa"/>
          </w:tcPr>
          <w:p w14:paraId="3C6ABFE9" w14:textId="77777777" w:rsidR="00647106" w:rsidRPr="000505FA" w:rsidRDefault="00647106" w:rsidP="00647106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47106" w:rsidRPr="000505FA" w14:paraId="266CCA50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</w:tcPr>
          <w:p w14:paraId="5122A034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cex_dataset_1996_2015.dta</w:t>
            </w:r>
          </w:p>
        </w:tc>
        <w:tc>
          <w:tcPr>
            <w:tcW w:w="2557" w:type="dxa"/>
          </w:tcPr>
          <w:p w14:paraId="3868C57B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STATA </w:t>
            </w:r>
            <w:proofErr w:type="spellStart"/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dta</w:t>
            </w:r>
            <w:proofErr w:type="spellEnd"/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file</w:t>
            </w:r>
          </w:p>
        </w:tc>
      </w:tr>
      <w:tr w:rsidR="00647106" w:rsidRPr="000505FA" w14:paraId="142C920F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</w:tcPr>
          <w:p w14:paraId="369A359B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proofErr w:type="spellStart"/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price_indices.dta</w:t>
            </w:r>
            <w:proofErr w:type="spellEnd"/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</w:tcPr>
          <w:p w14:paraId="55074D47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STATA </w:t>
            </w:r>
            <w:proofErr w:type="spellStart"/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dta</w:t>
            </w:r>
            <w:proofErr w:type="spellEnd"/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file</w:t>
            </w:r>
          </w:p>
        </w:tc>
      </w:tr>
      <w:tr w:rsidR="00647106" w:rsidRPr="000505FA" w14:paraId="0E5AC6FB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</w:tcPr>
          <w:p w14:paraId="0CEC0732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proofErr w:type="spellStart"/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psid_cons.dta</w:t>
            </w:r>
            <w:proofErr w:type="spellEnd"/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2557" w:type="dxa"/>
          </w:tcPr>
          <w:p w14:paraId="55DCB00D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STATA </w:t>
            </w:r>
            <w:proofErr w:type="spellStart"/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dta</w:t>
            </w:r>
            <w:proofErr w:type="spellEnd"/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file</w:t>
            </w:r>
          </w:p>
        </w:tc>
      </w:tr>
      <w:tr w:rsidR="00647106" w:rsidRPr="000505FA" w14:paraId="7662F698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</w:tcPr>
          <w:p w14:paraId="4B904002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</w:tcPr>
          <w:p w14:paraId="77F468BC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47106" w:rsidRPr="000505FA" w14:paraId="4542118A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</w:tcPr>
          <w:p w14:paraId="4D9B20A0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Programs</w:t>
            </w:r>
          </w:p>
        </w:tc>
        <w:tc>
          <w:tcPr>
            <w:tcW w:w="2557" w:type="dxa"/>
          </w:tcPr>
          <w:p w14:paraId="533F7A42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647106" w:rsidRPr="000505FA" w14:paraId="6DF10758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  <w:hideMark/>
          </w:tcPr>
          <w:p w14:paraId="12A7B3A0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descriptive_stats.do</w:t>
            </w:r>
          </w:p>
        </w:tc>
        <w:tc>
          <w:tcPr>
            <w:tcW w:w="2557" w:type="dxa"/>
          </w:tcPr>
          <w:p w14:paraId="46A2C875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STATA do file</w:t>
            </w:r>
          </w:p>
        </w:tc>
      </w:tr>
      <w:tr w:rsidR="00647106" w:rsidRPr="000505FA" w14:paraId="6E9866F2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  <w:hideMark/>
          </w:tcPr>
          <w:p w14:paraId="52B3A8D0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gmm.do            </w:t>
            </w:r>
          </w:p>
        </w:tc>
        <w:tc>
          <w:tcPr>
            <w:tcW w:w="2557" w:type="dxa"/>
          </w:tcPr>
          <w:p w14:paraId="5160187D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STATA do file</w:t>
            </w:r>
          </w:p>
        </w:tc>
      </w:tr>
      <w:tr w:rsidR="00647106" w:rsidRPr="000505FA" w14:paraId="12831346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  <w:hideMark/>
          </w:tcPr>
          <w:p w14:paraId="67B25590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output            </w:t>
            </w:r>
          </w:p>
        </w:tc>
        <w:tc>
          <w:tcPr>
            <w:tcW w:w="2557" w:type="dxa"/>
          </w:tcPr>
          <w:p w14:paraId="3F8954B2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STATA do file</w:t>
            </w:r>
          </w:p>
        </w:tc>
      </w:tr>
      <w:tr w:rsidR="00647106" w:rsidRPr="000505FA" w14:paraId="4924DFD8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  <w:hideMark/>
          </w:tcPr>
          <w:p w14:paraId="49871967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prepare_ATUS.do   </w:t>
            </w:r>
          </w:p>
        </w:tc>
        <w:tc>
          <w:tcPr>
            <w:tcW w:w="2557" w:type="dxa"/>
          </w:tcPr>
          <w:p w14:paraId="5EE66E5D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STATA do file</w:t>
            </w:r>
          </w:p>
        </w:tc>
      </w:tr>
      <w:tr w:rsidR="00647106" w:rsidRPr="000505FA" w14:paraId="74A8B0E9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  <w:hideMark/>
          </w:tcPr>
          <w:p w14:paraId="26AC3730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prepare_CEX.do    </w:t>
            </w:r>
          </w:p>
        </w:tc>
        <w:tc>
          <w:tcPr>
            <w:tcW w:w="2557" w:type="dxa"/>
          </w:tcPr>
          <w:p w14:paraId="37CDFE7C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STATA do file</w:t>
            </w:r>
          </w:p>
        </w:tc>
      </w:tr>
      <w:tr w:rsidR="00647106" w:rsidRPr="000505FA" w14:paraId="77196128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  <w:hideMark/>
          </w:tcPr>
          <w:p w14:paraId="0697E0FF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prepare_PSID.do   </w:t>
            </w:r>
          </w:p>
        </w:tc>
        <w:tc>
          <w:tcPr>
            <w:tcW w:w="2557" w:type="dxa"/>
          </w:tcPr>
          <w:p w14:paraId="0B9F3DFA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STATA do file</w:t>
            </w:r>
          </w:p>
        </w:tc>
      </w:tr>
      <w:tr w:rsidR="00647106" w:rsidRPr="000505FA" w14:paraId="0C8C1178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</w:tcPr>
          <w:p w14:paraId="23B1245C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shell.do          </w:t>
            </w:r>
          </w:p>
        </w:tc>
        <w:tc>
          <w:tcPr>
            <w:tcW w:w="2557" w:type="dxa"/>
          </w:tcPr>
          <w:p w14:paraId="5DCC9564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STATA do file</w:t>
            </w:r>
          </w:p>
        </w:tc>
      </w:tr>
      <w:tr w:rsidR="00647106" w:rsidRPr="000505FA" w14:paraId="30159E9D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</w:tcPr>
          <w:p w14:paraId="7486F0E6" w14:textId="77777777" w:rsidR="00647106" w:rsidRPr="00647106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  <w:r w:rsidRPr="0064710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target_moments.do </w:t>
            </w:r>
          </w:p>
        </w:tc>
        <w:tc>
          <w:tcPr>
            <w:tcW w:w="2557" w:type="dxa"/>
          </w:tcPr>
          <w:p w14:paraId="77D48C41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5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STATA do file</w:t>
            </w:r>
          </w:p>
        </w:tc>
      </w:tr>
      <w:tr w:rsidR="00647106" w:rsidRPr="000505FA" w14:paraId="7B61FB8C" w14:textId="77777777" w:rsidTr="005D2B71">
        <w:trPr>
          <w:trHeight w:val="300"/>
        </w:trPr>
        <w:tc>
          <w:tcPr>
            <w:tcW w:w="3817" w:type="dxa"/>
            <w:shd w:val="clear" w:color="auto" w:fill="auto"/>
            <w:noWrap/>
            <w:vAlign w:val="bottom"/>
          </w:tcPr>
          <w:p w14:paraId="4872B065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</w:tcPr>
          <w:p w14:paraId="72E5F7D8" w14:textId="77777777" w:rsidR="00647106" w:rsidRPr="000505FA" w:rsidRDefault="00647106" w:rsidP="00647106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14:paraId="0FB2FC10" w14:textId="77777777" w:rsidR="002D135D" w:rsidRPr="000505FA" w:rsidRDefault="002D135D" w:rsidP="00647106">
      <w:pPr>
        <w:bidi w:val="0"/>
        <w:rPr>
          <w:sz w:val="24"/>
          <w:szCs w:val="24"/>
        </w:rPr>
      </w:pPr>
    </w:p>
    <w:p w14:paraId="136B28A6" w14:textId="51E896E4" w:rsidR="00384484" w:rsidRPr="000505FA" w:rsidRDefault="00384484" w:rsidP="00384484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505FA">
        <w:rPr>
          <w:b/>
          <w:bCs/>
          <w:sz w:val="24"/>
          <w:szCs w:val="24"/>
          <w:u w:val="single"/>
        </w:rPr>
        <w:t xml:space="preserve">Running </w:t>
      </w:r>
      <w:r w:rsidRPr="000505FA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the STATA code: </w:t>
      </w:r>
    </w:p>
    <w:p w14:paraId="110335C9" w14:textId="05292CB9" w:rsidR="00384484" w:rsidRPr="000505FA" w:rsidRDefault="00384484" w:rsidP="0039730C">
      <w:pPr>
        <w:bidi w:val="0"/>
        <w:rPr>
          <w:rFonts w:asciiTheme="majorBidi" w:hAnsiTheme="majorBidi" w:cstheme="majorBidi"/>
          <w:sz w:val="24"/>
          <w:szCs w:val="24"/>
        </w:rPr>
      </w:pPr>
      <w:r w:rsidRPr="000505FA">
        <w:rPr>
          <w:rFonts w:asciiTheme="majorBidi" w:hAnsiTheme="majorBidi" w:cstheme="majorBidi"/>
          <w:sz w:val="24"/>
          <w:szCs w:val="24"/>
        </w:rPr>
        <w:t xml:space="preserve">The file </w:t>
      </w:r>
      <w:r w:rsidRPr="000505FA">
        <w:rPr>
          <w:rFonts w:ascii="Courier New" w:hAnsi="Courier New" w:cs="Courier New"/>
          <w:sz w:val="24"/>
          <w:szCs w:val="24"/>
        </w:rPr>
        <w:t>shell.do</w:t>
      </w:r>
      <w:r w:rsidRPr="000505FA">
        <w:rPr>
          <w:rFonts w:asciiTheme="majorBidi" w:hAnsiTheme="majorBidi" w:cstheme="majorBidi"/>
          <w:sz w:val="24"/>
          <w:szCs w:val="24"/>
        </w:rPr>
        <w:t xml:space="preserve"> can call all the other do files to generate all the necessary outputs. </w:t>
      </w:r>
      <w:r w:rsidR="00DB6411" w:rsidRPr="000505FA">
        <w:rPr>
          <w:rFonts w:asciiTheme="majorBidi" w:hAnsiTheme="majorBidi" w:cstheme="majorBidi"/>
          <w:sz w:val="24"/>
          <w:szCs w:val="24"/>
        </w:rPr>
        <w:t xml:space="preserve">The first file of </w:t>
      </w:r>
      <w:proofErr w:type="gramStart"/>
      <w:r w:rsidR="00DB6411" w:rsidRPr="000505FA">
        <w:rPr>
          <w:rFonts w:ascii="Courier New" w:hAnsi="Courier New" w:cs="Courier New"/>
          <w:sz w:val="24"/>
          <w:szCs w:val="24"/>
        </w:rPr>
        <w:t>shell.do</w:t>
      </w:r>
      <w:r w:rsidR="00DB6411" w:rsidRPr="000505FA">
        <w:rPr>
          <w:rFonts w:asciiTheme="majorBidi" w:hAnsiTheme="majorBidi" w:cstheme="majorBidi"/>
          <w:sz w:val="24"/>
          <w:szCs w:val="24"/>
        </w:rPr>
        <w:t xml:space="preserve">  calls</w:t>
      </w:r>
      <w:proofErr w:type="gramEnd"/>
      <w:r w:rsidR="00DB6411" w:rsidRPr="000505FA">
        <w:rPr>
          <w:rFonts w:asciiTheme="majorBidi" w:hAnsiTheme="majorBidi" w:cstheme="majorBidi"/>
          <w:sz w:val="24"/>
          <w:szCs w:val="24"/>
        </w:rPr>
        <w:t xml:space="preserve"> the three files that will prepare the variables and</w:t>
      </w:r>
      <w:r w:rsidR="00DC7F2C" w:rsidRPr="000505FA">
        <w:rPr>
          <w:rFonts w:asciiTheme="majorBidi" w:hAnsiTheme="majorBidi" w:cstheme="majorBidi"/>
          <w:sz w:val="24"/>
          <w:szCs w:val="24"/>
        </w:rPr>
        <w:t xml:space="preserve"> the samples for the estimation: </w:t>
      </w:r>
      <w:r w:rsidR="00DC7F2C" w:rsidRPr="000505FA">
        <w:rPr>
          <w:rFonts w:ascii="Courier New" w:hAnsi="Courier New" w:cs="Courier New"/>
          <w:sz w:val="24"/>
          <w:szCs w:val="24"/>
        </w:rPr>
        <w:t>prepare_CEX.do</w:t>
      </w:r>
      <w:r w:rsidR="00DC7F2C" w:rsidRPr="000505FA">
        <w:rPr>
          <w:rFonts w:asciiTheme="majorBidi" w:hAnsiTheme="majorBidi" w:cstheme="majorBidi"/>
          <w:sz w:val="24"/>
          <w:szCs w:val="24"/>
        </w:rPr>
        <w:t xml:space="preserve">, </w:t>
      </w:r>
      <w:r w:rsidR="00875202" w:rsidRPr="000505FA">
        <w:rPr>
          <w:rFonts w:ascii="Courier New" w:hAnsi="Courier New" w:cs="Courier New"/>
          <w:sz w:val="24"/>
          <w:szCs w:val="24"/>
        </w:rPr>
        <w:t>prepare_ATUS</w:t>
      </w:r>
      <w:r w:rsidR="00DC7F2C" w:rsidRPr="000505FA">
        <w:rPr>
          <w:rFonts w:ascii="Courier New" w:hAnsi="Courier New" w:cs="Courier New"/>
          <w:sz w:val="24"/>
          <w:szCs w:val="24"/>
        </w:rPr>
        <w:t>.do</w:t>
      </w:r>
      <w:r w:rsidR="00DC7F2C" w:rsidRPr="000505FA">
        <w:rPr>
          <w:rFonts w:asciiTheme="majorBidi" w:hAnsiTheme="majorBidi" w:cstheme="majorBidi"/>
          <w:sz w:val="24"/>
          <w:szCs w:val="24"/>
        </w:rPr>
        <w:t xml:space="preserve">, and </w:t>
      </w:r>
      <w:r w:rsidR="00875202" w:rsidRPr="000505FA">
        <w:rPr>
          <w:rFonts w:ascii="Courier New" w:hAnsi="Courier New" w:cs="Courier New"/>
          <w:sz w:val="24"/>
          <w:szCs w:val="24"/>
        </w:rPr>
        <w:t>prepare_PSID.do</w:t>
      </w:r>
      <w:r w:rsidR="00875202" w:rsidRPr="000505FA">
        <w:rPr>
          <w:rFonts w:asciiTheme="majorBidi" w:hAnsiTheme="majorBidi" w:cstheme="majorBidi"/>
          <w:sz w:val="24"/>
          <w:szCs w:val="24"/>
        </w:rPr>
        <w:t xml:space="preserve">. </w:t>
      </w:r>
      <w:r w:rsidR="0039730C" w:rsidRPr="000505FA">
        <w:rPr>
          <w:rFonts w:asciiTheme="majorBidi" w:hAnsiTheme="majorBidi" w:cstheme="majorBidi"/>
          <w:sz w:val="24"/>
          <w:szCs w:val="24"/>
        </w:rPr>
        <w:t xml:space="preserve">The first </w:t>
      </w:r>
      <w:proofErr w:type="gramStart"/>
      <w:r w:rsidR="0039730C" w:rsidRPr="000505FA">
        <w:rPr>
          <w:rFonts w:asciiTheme="majorBidi" w:hAnsiTheme="majorBidi" w:cstheme="majorBidi"/>
          <w:sz w:val="24"/>
          <w:szCs w:val="24"/>
        </w:rPr>
        <w:t>2</w:t>
      </w:r>
      <w:proofErr w:type="gramEnd"/>
      <w:r w:rsidR="0039730C" w:rsidRPr="000505FA">
        <w:rPr>
          <w:rFonts w:asciiTheme="majorBidi" w:hAnsiTheme="majorBidi" w:cstheme="majorBidi"/>
          <w:sz w:val="24"/>
          <w:szCs w:val="24"/>
        </w:rPr>
        <w:t xml:space="preserve"> use the input files </w:t>
      </w:r>
      <w:r w:rsidR="0039730C" w:rsidRPr="00647106">
        <w:rPr>
          <w:rFonts w:ascii="Courier New" w:eastAsia="Times New Roman" w:hAnsi="Courier New" w:cs="Courier New"/>
          <w:color w:val="000000"/>
          <w:sz w:val="24"/>
          <w:szCs w:val="24"/>
        </w:rPr>
        <w:t>cex_dataset_1996_2015.dta</w:t>
      </w:r>
      <w:r w:rsidR="0039730C" w:rsidRPr="000505FA">
        <w:rPr>
          <w:rFonts w:ascii="Courier New" w:eastAsia="Times New Roman" w:hAnsi="Courier New" w:cs="Courier New"/>
          <w:color w:val="000000"/>
          <w:sz w:val="24"/>
          <w:szCs w:val="24"/>
        </w:rPr>
        <w:t>,</w:t>
      </w:r>
      <w:r w:rsidR="0039730C" w:rsidRPr="000505FA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="0039730C" w:rsidRPr="00647106">
        <w:rPr>
          <w:rFonts w:ascii="Courier New" w:eastAsia="Times New Roman" w:hAnsi="Courier New" w:cs="Courier New"/>
          <w:color w:val="000000"/>
          <w:sz w:val="24"/>
          <w:szCs w:val="24"/>
        </w:rPr>
        <w:t>psid_cons.dta</w:t>
      </w:r>
      <w:proofErr w:type="spellEnd"/>
      <w:r w:rsidR="0039730C" w:rsidRPr="00647106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  <w:r w:rsidR="0039730C" w:rsidRPr="000505FA">
        <w:rPr>
          <w:rFonts w:asciiTheme="majorBidi" w:hAnsiTheme="majorBidi" w:cstheme="majorBidi"/>
          <w:sz w:val="24"/>
          <w:szCs w:val="24"/>
        </w:rPr>
        <w:t xml:space="preserve">respectively. These files include the entire un-sampled set of relevant variables from CEX and PSID (see below on the construction of these). </w:t>
      </w:r>
    </w:p>
    <w:p w14:paraId="17A56C35" w14:textId="06F57B91" w:rsidR="0039730C" w:rsidRPr="000505FA" w:rsidRDefault="0039730C" w:rsidP="0039730C">
      <w:pPr>
        <w:bidi w:val="0"/>
        <w:rPr>
          <w:rFonts w:asciiTheme="majorBidi" w:hAnsiTheme="majorBidi" w:cstheme="majorBidi"/>
          <w:sz w:val="24"/>
          <w:szCs w:val="24"/>
          <w:rtl/>
        </w:rPr>
      </w:pPr>
      <w:r w:rsidRPr="000505FA">
        <w:rPr>
          <w:rFonts w:asciiTheme="majorBidi" w:hAnsiTheme="majorBidi" w:cstheme="majorBidi"/>
          <w:sz w:val="24"/>
          <w:szCs w:val="24"/>
        </w:rPr>
        <w:t xml:space="preserve">The input files for </w:t>
      </w:r>
      <w:r w:rsidRPr="000505FA">
        <w:rPr>
          <w:rFonts w:ascii="Courier New" w:hAnsi="Courier New" w:cs="Courier New"/>
          <w:sz w:val="24"/>
          <w:szCs w:val="24"/>
        </w:rPr>
        <w:t>prepare_ATUS.do</w:t>
      </w:r>
      <w:r w:rsidRPr="000505FA">
        <w:rPr>
          <w:rFonts w:asciiTheme="majorBidi" w:hAnsiTheme="majorBidi" w:cstheme="majorBidi"/>
          <w:sz w:val="24"/>
          <w:szCs w:val="24"/>
        </w:rPr>
        <w:t xml:space="preserve"> are not provided, because this file is processing directly the ATUS raw </w:t>
      </w:r>
      <w:proofErr w:type="gramStart"/>
      <w:r w:rsidRPr="000505FA">
        <w:rPr>
          <w:rFonts w:asciiTheme="majorBidi" w:hAnsiTheme="majorBidi" w:cstheme="majorBidi"/>
          <w:sz w:val="24"/>
          <w:szCs w:val="24"/>
        </w:rPr>
        <w:t>data which</w:t>
      </w:r>
      <w:proofErr w:type="gramEnd"/>
      <w:r w:rsidRPr="000505FA">
        <w:rPr>
          <w:rFonts w:asciiTheme="majorBidi" w:hAnsiTheme="majorBidi" w:cstheme="majorBidi"/>
          <w:sz w:val="24"/>
          <w:szCs w:val="24"/>
        </w:rPr>
        <w:t xml:space="preserve"> should be downloaded from </w:t>
      </w:r>
      <w:r w:rsidR="00DA399E">
        <w:rPr>
          <w:rFonts w:asciiTheme="majorBidi" w:hAnsiTheme="majorBidi" w:cstheme="majorBidi"/>
          <w:sz w:val="24"/>
          <w:szCs w:val="24"/>
        </w:rPr>
        <w:t>ICPSR (</w:t>
      </w:r>
      <w:r w:rsidR="00DA399E" w:rsidRPr="00DA399E">
        <w:rPr>
          <w:rFonts w:asciiTheme="majorBidi" w:hAnsiTheme="majorBidi" w:cstheme="majorBidi"/>
          <w:sz w:val="24"/>
          <w:szCs w:val="24"/>
        </w:rPr>
        <w:t>https://www.icpsr.umich.edu/icpsrweb/index.jsp</w:t>
      </w:r>
      <w:r w:rsidR="00DA399E">
        <w:rPr>
          <w:rFonts w:asciiTheme="majorBidi" w:hAnsiTheme="majorBidi" w:cstheme="majorBidi"/>
          <w:sz w:val="24"/>
          <w:szCs w:val="24"/>
        </w:rPr>
        <w:t>)</w:t>
      </w:r>
      <w:r w:rsidRPr="000505FA">
        <w:rPr>
          <w:rFonts w:asciiTheme="majorBidi" w:hAnsiTheme="majorBidi" w:cstheme="majorBidi"/>
          <w:sz w:val="24"/>
          <w:szCs w:val="24"/>
        </w:rPr>
        <w:t xml:space="preserve">. </w:t>
      </w:r>
    </w:p>
    <w:p w14:paraId="08A4657E" w14:textId="30A6AA83" w:rsidR="003E3C79" w:rsidRPr="000505FA" w:rsidRDefault="003E3C79" w:rsidP="003E3C79">
      <w:pPr>
        <w:bidi w:val="0"/>
        <w:rPr>
          <w:rFonts w:asciiTheme="majorBidi" w:hAnsiTheme="majorBidi" w:cstheme="majorBidi"/>
          <w:sz w:val="24"/>
          <w:szCs w:val="24"/>
        </w:rPr>
      </w:pPr>
      <w:r w:rsidRPr="000505FA">
        <w:rPr>
          <w:rFonts w:asciiTheme="majorBidi" w:hAnsiTheme="majorBidi" w:cstheme="majorBidi" w:hint="cs"/>
          <w:sz w:val="24"/>
          <w:szCs w:val="24"/>
        </w:rPr>
        <w:t>A</w:t>
      </w:r>
      <w:r w:rsidRPr="000505FA">
        <w:rPr>
          <w:rFonts w:asciiTheme="majorBidi" w:hAnsiTheme="majorBidi" w:cstheme="majorBidi"/>
          <w:sz w:val="24"/>
          <w:szCs w:val="24"/>
        </w:rPr>
        <w:t xml:space="preserve">fter running the </w:t>
      </w:r>
      <w:proofErr w:type="gramStart"/>
      <w:r w:rsidRPr="000505FA">
        <w:rPr>
          <w:rFonts w:asciiTheme="majorBidi" w:hAnsiTheme="majorBidi" w:cstheme="majorBidi"/>
          <w:sz w:val="24"/>
          <w:szCs w:val="24"/>
        </w:rPr>
        <w:t>3</w:t>
      </w:r>
      <w:proofErr w:type="gramEnd"/>
      <w:r w:rsidRPr="000505FA">
        <w:rPr>
          <w:rFonts w:asciiTheme="majorBidi" w:hAnsiTheme="majorBidi" w:cstheme="majorBidi"/>
          <w:sz w:val="24"/>
          <w:szCs w:val="24"/>
        </w:rPr>
        <w:t xml:space="preserve"> preparation files, the </w:t>
      </w:r>
      <w:r w:rsidRPr="000505FA">
        <w:rPr>
          <w:rFonts w:ascii="Courier New" w:hAnsi="Courier New" w:cs="Courier New"/>
          <w:sz w:val="24"/>
          <w:szCs w:val="24"/>
        </w:rPr>
        <w:t>shell.do</w:t>
      </w:r>
      <w:r w:rsidRPr="000505FA">
        <w:rPr>
          <w:rFonts w:asciiTheme="majorBidi" w:hAnsiTheme="majorBidi" w:cstheme="majorBidi"/>
          <w:sz w:val="24"/>
          <w:szCs w:val="24"/>
        </w:rPr>
        <w:t xml:space="preserve"> calls the 3 files that will replicate Tables 1, 3A and generate the inputs required for running the MATLAB code:</w:t>
      </w:r>
    </w:p>
    <w:p w14:paraId="2065D953" w14:textId="2CF18C75" w:rsidR="000505FA" w:rsidRPr="000505FA" w:rsidRDefault="003E3C79" w:rsidP="00C871CC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647106">
        <w:rPr>
          <w:rFonts w:ascii="Courier New" w:eastAsia="Times New Roman" w:hAnsi="Courier New" w:cs="Courier New"/>
          <w:color w:val="000000"/>
          <w:sz w:val="24"/>
          <w:szCs w:val="24"/>
        </w:rPr>
        <w:lastRenderedPageBreak/>
        <w:t>gmm.do</w:t>
      </w:r>
      <w:r w:rsidRPr="000505FA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: </w:t>
      </w:r>
      <w:r w:rsidRPr="000505FA">
        <w:rPr>
          <w:rFonts w:asciiTheme="majorBidi" w:hAnsiTheme="majorBidi" w:cstheme="majorBidi"/>
          <w:sz w:val="24"/>
          <w:szCs w:val="24"/>
        </w:rPr>
        <w:t xml:space="preserve">will generate Table 3, panel </w:t>
      </w:r>
      <w:proofErr w:type="gramStart"/>
      <w:r w:rsidRPr="000505FA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C871CC">
        <w:rPr>
          <w:rFonts w:asciiTheme="majorBidi" w:hAnsiTheme="majorBidi" w:cstheme="majorBidi"/>
          <w:sz w:val="24"/>
          <w:szCs w:val="24"/>
        </w:rPr>
        <w:t>, and the Appendix Table</w:t>
      </w:r>
      <w:r w:rsidRPr="000505FA">
        <w:rPr>
          <w:rFonts w:asciiTheme="majorBidi" w:hAnsiTheme="majorBidi" w:cstheme="majorBidi"/>
          <w:sz w:val="24"/>
          <w:szCs w:val="24"/>
        </w:rPr>
        <w:t xml:space="preserve">. Note that when estimating with ATUS we restricted elasticities to have a positive sign, hence the </w:t>
      </w:r>
      <w:r w:rsidR="000505FA" w:rsidRPr="000505FA">
        <w:rPr>
          <w:rFonts w:asciiTheme="majorBidi" w:hAnsiTheme="majorBidi" w:cstheme="majorBidi"/>
          <w:sz w:val="24"/>
          <w:szCs w:val="24"/>
        </w:rPr>
        <w:t xml:space="preserve">relevant parameters are the re-scaled parameters reported at the bottom of the output table. </w:t>
      </w:r>
    </w:p>
    <w:p w14:paraId="04E83F15" w14:textId="52D999CD" w:rsidR="003E3C79" w:rsidRDefault="000505FA" w:rsidP="00170641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647106">
        <w:rPr>
          <w:rFonts w:ascii="Courier New" w:eastAsia="Times New Roman" w:hAnsi="Courier New" w:cs="Courier New"/>
          <w:color w:val="000000"/>
          <w:sz w:val="24"/>
          <w:szCs w:val="24"/>
        </w:rPr>
        <w:t>target_moments.do</w:t>
      </w:r>
      <w:r w:rsidRPr="000505FA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will generate all the inputs required for running the </w:t>
      </w:r>
      <w:proofErr w:type="spellStart"/>
      <w:r>
        <w:rPr>
          <w:rFonts w:asciiTheme="majorBidi" w:hAnsiTheme="majorBidi" w:cstheme="majorBidi"/>
          <w:sz w:val="24"/>
          <w:szCs w:val="24"/>
        </w:rPr>
        <w:t>matlab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code. This includes the three </w:t>
      </w:r>
      <w:proofErr w:type="gramStart"/>
      <w:r>
        <w:rPr>
          <w:rFonts w:asciiTheme="majorBidi" w:hAnsiTheme="majorBidi" w:cstheme="majorBidi"/>
          <w:sz w:val="24"/>
          <w:szCs w:val="24"/>
        </w:rPr>
        <w:t>files which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includes moments used by the </w:t>
      </w:r>
      <w:proofErr w:type="spellStart"/>
      <w:r>
        <w:rPr>
          <w:rFonts w:asciiTheme="majorBidi" w:hAnsiTheme="majorBidi" w:cstheme="majorBidi"/>
          <w:sz w:val="24"/>
          <w:szCs w:val="24"/>
        </w:rPr>
        <w:t>matlab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code (matched and unmatched): </w:t>
      </w:r>
      <w:r w:rsidRPr="000505FA">
        <w:rPr>
          <w:rFonts w:ascii="Courier New" w:hAnsi="Courier New" w:cs="Courier New"/>
          <w:sz w:val="24"/>
          <w:szCs w:val="24"/>
        </w:rPr>
        <w:t>moments.csv, moments_nk.csv, moments_nontarget.csv</w:t>
      </w:r>
      <w:r>
        <w:rPr>
          <w:rFonts w:asciiTheme="majorBidi" w:hAnsiTheme="majorBidi" w:cstheme="majorBidi"/>
          <w:sz w:val="24"/>
          <w:szCs w:val="24"/>
        </w:rPr>
        <w:t xml:space="preserve">. It also includes the three </w:t>
      </w:r>
      <w:proofErr w:type="gramStart"/>
      <w:r>
        <w:rPr>
          <w:rFonts w:asciiTheme="majorBidi" w:hAnsiTheme="majorBidi" w:cstheme="majorBidi"/>
          <w:sz w:val="24"/>
          <w:szCs w:val="24"/>
        </w:rPr>
        <w:t>files which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are required for calculating the standard errors in Table 3 Panel B:</w:t>
      </w:r>
      <w:r w:rsidRPr="000505FA">
        <w:rPr>
          <w:rFonts w:asciiTheme="majorBidi" w:hAnsiTheme="majorBidi" w:cstheme="majorBidi"/>
          <w:sz w:val="24"/>
          <w:szCs w:val="24"/>
        </w:rPr>
        <w:t xml:space="preserve"> </w:t>
      </w:r>
      <w:r w:rsidRPr="000505FA">
        <w:rPr>
          <w:rFonts w:ascii="Courier New" w:hAnsi="Courier New" w:cs="Courier New"/>
          <w:sz w:val="24"/>
          <w:szCs w:val="24"/>
        </w:rPr>
        <w:t>SIGMA.csv, SIGMA_atus.csv, SIGMA_psid.csv</w:t>
      </w:r>
      <w:r w:rsidRPr="000505FA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170641">
        <w:rPr>
          <w:rFonts w:asciiTheme="majorBidi" w:hAnsiTheme="majorBidi" w:cstheme="majorBidi"/>
          <w:sz w:val="24"/>
          <w:szCs w:val="24"/>
        </w:rPr>
        <w:t xml:space="preserve">Finally, it will output log </w:t>
      </w:r>
      <w:proofErr w:type="gramStart"/>
      <w:r w:rsidR="00170641">
        <w:rPr>
          <w:rFonts w:asciiTheme="majorBidi" w:hAnsiTheme="majorBidi" w:cstheme="majorBidi"/>
          <w:sz w:val="24"/>
          <w:szCs w:val="24"/>
        </w:rPr>
        <w:t>files which include the parameters</w:t>
      </w:r>
      <w:proofErr w:type="gramEnd"/>
      <w:r w:rsidR="00170641">
        <w:rPr>
          <w:rFonts w:asciiTheme="majorBidi" w:hAnsiTheme="majorBidi" w:cstheme="majorBidi"/>
          <w:sz w:val="24"/>
          <w:szCs w:val="24"/>
        </w:rPr>
        <w:t xml:space="preserve"> used in Table 2 and calculated using PSID. </w:t>
      </w:r>
    </w:p>
    <w:p w14:paraId="00EE1E06" w14:textId="02ECE63D" w:rsidR="00096F41" w:rsidRPr="000505FA" w:rsidRDefault="00096F41" w:rsidP="00096F41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647106">
        <w:rPr>
          <w:rFonts w:ascii="Courier New" w:eastAsia="Times New Roman" w:hAnsi="Courier New" w:cs="Courier New"/>
          <w:color w:val="000000"/>
          <w:sz w:val="24"/>
          <w:szCs w:val="24"/>
        </w:rPr>
        <w:t>descriptive_stats.do</w:t>
      </w:r>
      <w:r>
        <w:rPr>
          <w:rFonts w:asciiTheme="majorBidi" w:hAnsiTheme="majorBidi" w:cstheme="majorBidi"/>
          <w:sz w:val="24"/>
          <w:szCs w:val="24"/>
        </w:rPr>
        <w:t>: will generate Table 1.</w:t>
      </w:r>
    </w:p>
    <w:p w14:paraId="6F3BA027" w14:textId="11E4B416" w:rsidR="003E3C79" w:rsidRDefault="003E3C79" w:rsidP="003E3C79">
      <w:pPr>
        <w:bidi w:val="0"/>
        <w:rPr>
          <w:rFonts w:asciiTheme="majorBidi" w:hAnsiTheme="majorBidi" w:cstheme="majorBidi"/>
          <w:sz w:val="24"/>
          <w:szCs w:val="24"/>
        </w:rPr>
      </w:pPr>
    </w:p>
    <w:p w14:paraId="5BD93192" w14:textId="77C7351A" w:rsidR="00D15BA8" w:rsidRPr="00254AEE" w:rsidRDefault="00D15BA8" w:rsidP="00D15BA8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54AEE">
        <w:rPr>
          <w:rFonts w:asciiTheme="majorBidi" w:hAnsiTheme="majorBidi" w:cstheme="majorBidi"/>
          <w:b/>
          <w:bCs/>
          <w:sz w:val="24"/>
          <w:szCs w:val="24"/>
          <w:u w:val="single"/>
        </w:rPr>
        <w:t>Preparing the PSID files:</w:t>
      </w:r>
    </w:p>
    <w:p w14:paraId="1444E5C3" w14:textId="15000A89" w:rsidR="00DA399E" w:rsidRDefault="00DA399E" w:rsidP="00D15BA8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replication package includes the PSID data file</w:t>
      </w:r>
      <w:r w:rsidR="002F6FAD">
        <w:rPr>
          <w:rFonts w:asciiTheme="majorBidi" w:hAnsiTheme="majorBidi" w:cstheme="majorBidi"/>
          <w:sz w:val="24"/>
          <w:szCs w:val="24"/>
        </w:rPr>
        <w:t xml:space="preserve"> that you need to reproduce all the results in the paper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254AEE">
        <w:rPr>
          <w:rFonts w:ascii="Courier New" w:eastAsia="Times New Roman" w:hAnsi="Courier New" w:cs="Courier New"/>
          <w:color w:val="000000"/>
          <w:sz w:val="24"/>
          <w:szCs w:val="24"/>
        </w:rPr>
        <w:t>psid_cons.dta</w:t>
      </w:r>
      <w:proofErr w:type="spellEnd"/>
      <w:r>
        <w:rPr>
          <w:rFonts w:asciiTheme="majorBidi" w:hAnsiTheme="majorBidi" w:cstheme="majorBidi"/>
          <w:sz w:val="24"/>
          <w:szCs w:val="24"/>
        </w:rPr>
        <w:t>)</w:t>
      </w:r>
      <w:r w:rsidR="002F6FAD">
        <w:rPr>
          <w:rFonts w:asciiTheme="majorBidi" w:hAnsiTheme="majorBidi" w:cstheme="majorBidi"/>
          <w:sz w:val="24"/>
          <w:szCs w:val="24"/>
        </w:rPr>
        <w:t>.</w:t>
      </w:r>
    </w:p>
    <w:p w14:paraId="042C0284" w14:textId="7B148943" w:rsidR="00D15BA8" w:rsidRPr="00254AEE" w:rsidRDefault="00D15BA8" w:rsidP="00DA399E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54AEE">
        <w:rPr>
          <w:rFonts w:asciiTheme="majorBidi" w:hAnsiTheme="majorBidi" w:cstheme="majorBidi"/>
          <w:sz w:val="24"/>
          <w:szCs w:val="24"/>
        </w:rPr>
        <w:t xml:space="preserve">We </w:t>
      </w:r>
      <w:r w:rsidR="002F6FAD">
        <w:rPr>
          <w:rFonts w:asciiTheme="majorBidi" w:hAnsiTheme="majorBidi" w:cstheme="majorBidi"/>
          <w:sz w:val="24"/>
          <w:szCs w:val="24"/>
        </w:rPr>
        <w:t xml:space="preserve">do not </w:t>
      </w:r>
      <w:r w:rsidRPr="00254AEE">
        <w:rPr>
          <w:rFonts w:asciiTheme="majorBidi" w:hAnsiTheme="majorBidi" w:cstheme="majorBidi"/>
          <w:sz w:val="24"/>
          <w:szCs w:val="24"/>
        </w:rPr>
        <w:t>provide the code</w:t>
      </w:r>
      <w:r w:rsidR="002F6FAD">
        <w:rPr>
          <w:rFonts w:asciiTheme="majorBidi" w:hAnsiTheme="majorBidi" w:cstheme="majorBidi"/>
          <w:sz w:val="24"/>
          <w:szCs w:val="24"/>
        </w:rPr>
        <w:t>s</w:t>
      </w:r>
      <w:r w:rsidRPr="00254AEE">
        <w:rPr>
          <w:rFonts w:asciiTheme="majorBidi" w:hAnsiTheme="majorBidi" w:cstheme="majorBidi"/>
          <w:sz w:val="24"/>
          <w:szCs w:val="24"/>
        </w:rPr>
        <w:t xml:space="preserve"> required </w:t>
      </w:r>
      <w:r w:rsidR="002F6FAD">
        <w:rPr>
          <w:rFonts w:asciiTheme="majorBidi" w:hAnsiTheme="majorBidi" w:cstheme="majorBidi"/>
          <w:sz w:val="24"/>
          <w:szCs w:val="24"/>
        </w:rPr>
        <w:t>to create this dataset starting from the raw PSID files (available</w:t>
      </w:r>
      <w:r w:rsidRPr="00254AEE">
        <w:rPr>
          <w:rFonts w:asciiTheme="majorBidi" w:hAnsiTheme="majorBidi" w:cstheme="majorBidi"/>
          <w:sz w:val="24"/>
          <w:szCs w:val="24"/>
        </w:rPr>
        <w:t xml:space="preserve"> from the PSID website: </w:t>
      </w:r>
      <w:hyperlink r:id="rId7" w:history="1">
        <w:r w:rsidRPr="00254AEE">
          <w:rPr>
            <w:rStyle w:val="Hyperlink"/>
            <w:rFonts w:asciiTheme="majorBidi" w:hAnsiTheme="majorBidi" w:cstheme="majorBidi"/>
            <w:sz w:val="24"/>
            <w:szCs w:val="24"/>
          </w:rPr>
          <w:t>https://psidonline.isr.umich.edu/</w:t>
        </w:r>
      </w:hyperlink>
      <w:r w:rsidR="002F6FAD">
        <w:rPr>
          <w:rFonts w:asciiTheme="majorBidi" w:hAnsiTheme="majorBidi" w:cstheme="majorBidi"/>
          <w:sz w:val="24"/>
          <w:szCs w:val="24"/>
        </w:rPr>
        <w:t xml:space="preserve">). </w:t>
      </w:r>
      <w:r w:rsidRPr="00254AEE">
        <w:rPr>
          <w:rFonts w:asciiTheme="majorBidi" w:hAnsiTheme="majorBidi" w:cstheme="majorBidi"/>
          <w:sz w:val="24"/>
          <w:szCs w:val="24"/>
        </w:rPr>
        <w:t xml:space="preserve"> </w:t>
      </w:r>
      <w:r w:rsidR="005D2B71">
        <w:rPr>
          <w:rFonts w:asciiTheme="majorBidi" w:hAnsiTheme="majorBidi" w:cstheme="majorBidi"/>
          <w:sz w:val="24"/>
          <w:szCs w:val="24"/>
        </w:rPr>
        <w:t>Please contact us if we are interested in obtaining these additional files.</w:t>
      </w:r>
    </w:p>
    <w:p w14:paraId="7BC40587" w14:textId="77777777" w:rsidR="00254AEE" w:rsidRPr="00254AEE" w:rsidRDefault="00254AEE" w:rsidP="00254AEE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1D7C996D" w14:textId="2FAE593A" w:rsidR="00254AEE" w:rsidRPr="00254AEE" w:rsidRDefault="00254AEE" w:rsidP="00254AEE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54AEE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Preparing the </w:t>
      </w:r>
      <w:r w:rsidR="00DA399E">
        <w:rPr>
          <w:rFonts w:asciiTheme="majorBidi" w:hAnsiTheme="majorBidi" w:cstheme="majorBidi"/>
          <w:b/>
          <w:bCs/>
          <w:sz w:val="24"/>
          <w:szCs w:val="24"/>
          <w:u w:val="single"/>
        </w:rPr>
        <w:t>CEX</w:t>
      </w:r>
      <w:r w:rsidRPr="00254AEE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files:</w:t>
      </w:r>
    </w:p>
    <w:p w14:paraId="42940E04" w14:textId="3619F7AB" w:rsidR="005D2B71" w:rsidRDefault="005D2B71" w:rsidP="005D2B71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replication package includes the CEX data file that you need to reproduce all the results in the paper (</w:t>
      </w:r>
      <w:r w:rsidRPr="00647106">
        <w:rPr>
          <w:rFonts w:ascii="Courier New" w:eastAsia="Times New Roman" w:hAnsi="Courier New" w:cs="Courier New"/>
          <w:color w:val="000000"/>
          <w:sz w:val="24"/>
          <w:szCs w:val="24"/>
        </w:rPr>
        <w:t>cex_dataset_1996_2015.dta</w:t>
      </w:r>
      <w:r>
        <w:rPr>
          <w:rFonts w:asciiTheme="majorBidi" w:hAnsiTheme="majorBidi" w:cstheme="majorBidi"/>
          <w:sz w:val="24"/>
          <w:szCs w:val="24"/>
        </w:rPr>
        <w:t>).</w:t>
      </w:r>
    </w:p>
    <w:p w14:paraId="2838C4DC" w14:textId="78FB0FCD" w:rsidR="005D2B71" w:rsidRPr="00254AEE" w:rsidRDefault="00D63F42" w:rsidP="00C32E8C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5D2B71">
        <w:rPr>
          <w:rFonts w:asciiTheme="majorBidi" w:hAnsiTheme="majorBidi" w:cstheme="majorBidi"/>
          <w:sz w:val="24"/>
          <w:szCs w:val="24"/>
        </w:rPr>
        <w:t xml:space="preserve">he raw CEX files </w:t>
      </w:r>
      <w:r>
        <w:rPr>
          <w:rFonts w:asciiTheme="majorBidi" w:hAnsiTheme="majorBidi" w:cstheme="majorBidi"/>
          <w:sz w:val="24"/>
          <w:szCs w:val="24"/>
        </w:rPr>
        <w:t xml:space="preserve">are </w:t>
      </w:r>
      <w:r w:rsidR="005D2B71">
        <w:rPr>
          <w:rFonts w:asciiTheme="majorBidi" w:hAnsiTheme="majorBidi" w:cstheme="majorBidi"/>
          <w:sz w:val="24"/>
          <w:szCs w:val="24"/>
        </w:rPr>
        <w:t>available</w:t>
      </w:r>
      <w:r w:rsidR="005D2B71" w:rsidRPr="00254AEE">
        <w:rPr>
          <w:rFonts w:asciiTheme="majorBidi" w:hAnsiTheme="majorBidi" w:cstheme="majorBidi"/>
          <w:sz w:val="24"/>
          <w:szCs w:val="24"/>
        </w:rPr>
        <w:t xml:space="preserve"> from the </w:t>
      </w:r>
      <w:r w:rsidR="005D2B71">
        <w:rPr>
          <w:rFonts w:asciiTheme="majorBidi" w:hAnsiTheme="majorBidi" w:cstheme="majorBidi"/>
          <w:sz w:val="24"/>
          <w:szCs w:val="24"/>
        </w:rPr>
        <w:t>BLS</w:t>
      </w:r>
      <w:r w:rsidR="005D2B71" w:rsidRPr="00254AEE">
        <w:rPr>
          <w:rFonts w:asciiTheme="majorBidi" w:hAnsiTheme="majorBidi" w:cstheme="majorBidi"/>
          <w:sz w:val="24"/>
          <w:szCs w:val="24"/>
        </w:rPr>
        <w:t xml:space="preserve"> website</w:t>
      </w:r>
      <w:proofErr w:type="gramStart"/>
      <w:r w:rsidR="005D2B71" w:rsidRPr="00254AEE">
        <w:rPr>
          <w:rFonts w:asciiTheme="majorBidi" w:hAnsiTheme="majorBidi" w:cstheme="majorBidi"/>
          <w:sz w:val="24"/>
          <w:szCs w:val="24"/>
        </w:rPr>
        <w:t xml:space="preserve">: </w:t>
      </w:r>
      <w:proofErr w:type="gramEnd"/>
      <w:r w:rsidR="00022F5D">
        <w:fldChar w:fldCharType="begin"/>
      </w:r>
      <w:r w:rsidR="00022F5D">
        <w:instrText xml:space="preserve"> HYPERLINK "https://psidonline.isr.umich.edu/" </w:instrText>
      </w:r>
      <w:r w:rsidR="00022F5D">
        <w:fldChar w:fldCharType="separate"/>
      </w:r>
      <w:hyperlink r:id="rId8" w:history="1">
        <w:r w:rsidR="005D2B71" w:rsidRPr="000443CE">
          <w:rPr>
            <w:rStyle w:val="Hyperlink"/>
            <w:rFonts w:asciiTheme="majorBidi" w:hAnsiTheme="majorBidi" w:cstheme="majorBidi"/>
            <w:sz w:val="24"/>
            <w:szCs w:val="24"/>
          </w:rPr>
          <w:t>https://www.bls.gov/cex/pumd_data.htm</w:t>
        </w:r>
      </w:hyperlink>
      <w:r w:rsidR="00022F5D">
        <w:rPr>
          <w:rStyle w:val="Hyperlink"/>
          <w:rFonts w:asciiTheme="majorBidi" w:hAnsiTheme="majorBidi" w:cstheme="majorBidi"/>
          <w:sz w:val="24"/>
          <w:szCs w:val="24"/>
        </w:rPr>
        <w:fldChar w:fldCharType="end"/>
      </w:r>
      <w:r w:rsidR="005D2B71">
        <w:rPr>
          <w:rFonts w:asciiTheme="majorBidi" w:hAnsiTheme="majorBidi" w:cstheme="majorBidi"/>
          <w:sz w:val="24"/>
          <w:szCs w:val="24"/>
        </w:rPr>
        <w:t xml:space="preserve">. </w:t>
      </w:r>
      <w:r w:rsidR="005D2B71" w:rsidRPr="00254AEE">
        <w:rPr>
          <w:rFonts w:asciiTheme="majorBidi" w:hAnsiTheme="majorBidi" w:cstheme="majorBidi"/>
          <w:sz w:val="24"/>
          <w:szCs w:val="24"/>
        </w:rPr>
        <w:t xml:space="preserve"> </w:t>
      </w:r>
      <w:r w:rsidR="005D2B71">
        <w:rPr>
          <w:rFonts w:asciiTheme="majorBidi" w:hAnsiTheme="majorBidi" w:cstheme="majorBidi"/>
          <w:sz w:val="24"/>
          <w:szCs w:val="24"/>
        </w:rPr>
        <w:t xml:space="preserve">Please contact us if </w:t>
      </w:r>
      <w:r w:rsidR="00C32E8C">
        <w:rPr>
          <w:rFonts w:asciiTheme="majorBidi" w:hAnsiTheme="majorBidi" w:cstheme="majorBidi"/>
          <w:sz w:val="24"/>
          <w:szCs w:val="24"/>
        </w:rPr>
        <w:t xml:space="preserve">you </w:t>
      </w:r>
      <w:r w:rsidR="005D2B71">
        <w:rPr>
          <w:rFonts w:asciiTheme="majorBidi" w:hAnsiTheme="majorBidi" w:cstheme="majorBidi"/>
          <w:sz w:val="24"/>
          <w:szCs w:val="24"/>
        </w:rPr>
        <w:t xml:space="preserve">are interested in obtaining </w:t>
      </w:r>
      <w:r>
        <w:rPr>
          <w:rFonts w:asciiTheme="majorBidi" w:hAnsiTheme="majorBidi" w:cstheme="majorBidi"/>
          <w:sz w:val="24"/>
          <w:szCs w:val="24"/>
        </w:rPr>
        <w:t>t</w:t>
      </w:r>
      <w:r w:rsidRPr="00254AEE">
        <w:rPr>
          <w:rFonts w:asciiTheme="majorBidi" w:hAnsiTheme="majorBidi" w:cstheme="majorBidi"/>
          <w:sz w:val="24"/>
          <w:szCs w:val="24"/>
        </w:rPr>
        <w:t>he code</w:t>
      </w:r>
      <w:r>
        <w:rPr>
          <w:rFonts w:asciiTheme="majorBidi" w:hAnsiTheme="majorBidi" w:cstheme="majorBidi"/>
          <w:sz w:val="24"/>
          <w:szCs w:val="24"/>
        </w:rPr>
        <w:t>s</w:t>
      </w:r>
      <w:r w:rsidRPr="00254AEE">
        <w:rPr>
          <w:rFonts w:asciiTheme="majorBidi" w:hAnsiTheme="majorBidi" w:cstheme="majorBidi"/>
          <w:sz w:val="24"/>
          <w:szCs w:val="24"/>
        </w:rPr>
        <w:t xml:space="preserve"> required </w:t>
      </w:r>
      <w:r>
        <w:rPr>
          <w:rFonts w:asciiTheme="majorBidi" w:hAnsiTheme="majorBidi" w:cstheme="majorBidi"/>
          <w:sz w:val="24"/>
          <w:szCs w:val="24"/>
        </w:rPr>
        <w:t xml:space="preserve">to create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647106">
        <w:rPr>
          <w:rFonts w:ascii="Courier New" w:eastAsia="Times New Roman" w:hAnsi="Courier New" w:cs="Courier New"/>
          <w:color w:val="000000"/>
          <w:sz w:val="24"/>
          <w:szCs w:val="24"/>
        </w:rPr>
        <w:t>cex_dataset_1996_</w:t>
      </w:r>
      <w:proofErr w:type="gramStart"/>
      <w:r w:rsidRPr="00647106">
        <w:rPr>
          <w:rFonts w:ascii="Courier New" w:eastAsia="Times New Roman" w:hAnsi="Courier New" w:cs="Courier New"/>
          <w:color w:val="000000"/>
          <w:sz w:val="24"/>
          <w:szCs w:val="24"/>
        </w:rPr>
        <w:t>2015.dta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>dataset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starting from </w:t>
      </w:r>
      <w:r>
        <w:rPr>
          <w:rFonts w:asciiTheme="majorBidi" w:hAnsiTheme="majorBidi" w:cstheme="majorBidi"/>
          <w:sz w:val="24"/>
          <w:szCs w:val="24"/>
        </w:rPr>
        <w:t xml:space="preserve">raw </w:t>
      </w:r>
      <w:r w:rsidR="005D2B71">
        <w:rPr>
          <w:rFonts w:asciiTheme="majorBidi" w:hAnsiTheme="majorBidi" w:cstheme="majorBidi"/>
          <w:sz w:val="24"/>
          <w:szCs w:val="24"/>
        </w:rPr>
        <w:t>files.</w:t>
      </w:r>
    </w:p>
    <w:p w14:paraId="0F5EE935" w14:textId="77777777" w:rsidR="00254AEE" w:rsidRPr="00254AEE" w:rsidRDefault="00254AEE" w:rsidP="00254AEE">
      <w:pPr>
        <w:bidi w:val="0"/>
        <w:rPr>
          <w:rFonts w:asciiTheme="majorBidi" w:hAnsiTheme="majorBidi" w:cstheme="majorBidi"/>
          <w:sz w:val="24"/>
          <w:szCs w:val="24"/>
        </w:rPr>
      </w:pPr>
    </w:p>
    <w:p w14:paraId="0DDD7707" w14:textId="77777777" w:rsidR="00D15BA8" w:rsidRPr="000505FA" w:rsidRDefault="00D15BA8" w:rsidP="00D15BA8">
      <w:pPr>
        <w:bidi w:val="0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14:paraId="607CB638" w14:textId="77777777" w:rsidR="00B14E3E" w:rsidRPr="000505FA" w:rsidRDefault="00B14E3E" w:rsidP="00B14E3E">
      <w:pPr>
        <w:bidi w:val="0"/>
        <w:rPr>
          <w:sz w:val="24"/>
          <w:szCs w:val="24"/>
        </w:rPr>
      </w:pPr>
    </w:p>
    <w:sectPr w:rsidR="00B14E3E" w:rsidRPr="000505FA" w:rsidSect="00364D0C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BF90C" w14:textId="77777777" w:rsidR="00022F5D" w:rsidRDefault="00022F5D" w:rsidP="00254AEE">
      <w:pPr>
        <w:spacing w:after="0" w:line="240" w:lineRule="auto"/>
      </w:pPr>
      <w:r>
        <w:separator/>
      </w:r>
    </w:p>
  </w:endnote>
  <w:endnote w:type="continuationSeparator" w:id="0">
    <w:p w14:paraId="45969C38" w14:textId="77777777" w:rsidR="00022F5D" w:rsidRDefault="00022F5D" w:rsidP="0025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501318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4EE701" w14:textId="6B7219B6" w:rsidR="00254AEE" w:rsidRDefault="00254A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E8C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14:paraId="34AA9A6D" w14:textId="77777777" w:rsidR="00254AEE" w:rsidRDefault="00254A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C4FA5" w14:textId="77777777" w:rsidR="00022F5D" w:rsidRDefault="00022F5D" w:rsidP="00254AEE">
      <w:pPr>
        <w:spacing w:after="0" w:line="240" w:lineRule="auto"/>
      </w:pPr>
      <w:r>
        <w:separator/>
      </w:r>
    </w:p>
  </w:footnote>
  <w:footnote w:type="continuationSeparator" w:id="0">
    <w:p w14:paraId="2EC0FB2D" w14:textId="77777777" w:rsidR="00022F5D" w:rsidRDefault="00022F5D" w:rsidP="00254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900A9"/>
    <w:multiLevelType w:val="hybridMultilevel"/>
    <w:tmpl w:val="9A0E8F36"/>
    <w:lvl w:ilvl="0" w:tplc="956E01A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C71AA5"/>
    <w:multiLevelType w:val="hybridMultilevel"/>
    <w:tmpl w:val="E1D8B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906"/>
    <w:rsid w:val="00022F5D"/>
    <w:rsid w:val="000505FA"/>
    <w:rsid w:val="00096F41"/>
    <w:rsid w:val="000A064C"/>
    <w:rsid w:val="000E4906"/>
    <w:rsid w:val="00170641"/>
    <w:rsid w:val="00254AEE"/>
    <w:rsid w:val="002D135D"/>
    <w:rsid w:val="002F6FAD"/>
    <w:rsid w:val="00364D0C"/>
    <w:rsid w:val="00384484"/>
    <w:rsid w:val="0039730C"/>
    <w:rsid w:val="003E3C79"/>
    <w:rsid w:val="005D2B71"/>
    <w:rsid w:val="00647106"/>
    <w:rsid w:val="006D6511"/>
    <w:rsid w:val="00766510"/>
    <w:rsid w:val="00875202"/>
    <w:rsid w:val="00920157"/>
    <w:rsid w:val="00943AC4"/>
    <w:rsid w:val="009A03FE"/>
    <w:rsid w:val="00A03E38"/>
    <w:rsid w:val="00B14E3E"/>
    <w:rsid w:val="00C32E8C"/>
    <w:rsid w:val="00C50950"/>
    <w:rsid w:val="00C871CC"/>
    <w:rsid w:val="00D15BA8"/>
    <w:rsid w:val="00D63F42"/>
    <w:rsid w:val="00DA399E"/>
    <w:rsid w:val="00DB6411"/>
    <w:rsid w:val="00DC7F2C"/>
    <w:rsid w:val="00F21D59"/>
    <w:rsid w:val="00FB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0F162"/>
  <w15:chartTrackingRefBased/>
  <w15:docId w15:val="{D72E43C8-437B-4E37-973D-C1A11EB0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14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4E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4E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E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E3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15BA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54AE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AEE"/>
  </w:style>
  <w:style w:type="paragraph" w:styleId="Footer">
    <w:name w:val="footer"/>
    <w:basedOn w:val="Normal"/>
    <w:link w:val="FooterChar"/>
    <w:uiPriority w:val="99"/>
    <w:unhideWhenUsed/>
    <w:rsid w:val="00254AE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s.gov/cex/pumd_data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sidonline.isr.umich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itays</dc:creator>
  <cp:keywords/>
  <dc:description/>
  <cp:lastModifiedBy>itays</cp:lastModifiedBy>
  <cp:revision>5</cp:revision>
  <dcterms:created xsi:type="dcterms:W3CDTF">2017-12-04T23:57:00Z</dcterms:created>
  <dcterms:modified xsi:type="dcterms:W3CDTF">2017-12-05T15:35:00Z</dcterms:modified>
</cp:coreProperties>
</file>