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88" w:rsidRDefault="00146A88" w:rsidP="00146A88">
      <w:pPr>
        <w:tabs>
          <w:tab w:val="left" w:pos="576"/>
          <w:tab w:val="left" w:pos="1152"/>
          <w:tab w:val="left" w:pos="2304"/>
          <w:tab w:val="left" w:pos="7938"/>
        </w:tabs>
        <w:spacing w:before="360" w:after="240"/>
        <w:rPr>
          <w:b/>
          <w:spacing w:val="4"/>
          <w:sz w:val="22"/>
          <w:u w:val="single"/>
        </w:rPr>
      </w:pPr>
      <w:r>
        <w:rPr>
          <w:b/>
          <w:spacing w:val="4"/>
          <w:sz w:val="22"/>
          <w:u w:val="single"/>
        </w:rPr>
        <w:t>Active Participation in Scientific Meetings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368"/>
        <w:gridCol w:w="7740"/>
      </w:tblGrid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1995 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>“The ‘Breakthrough Myth’: The Case of Joe Orton” (lecture)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Symposium held at </w:t>
            </w:r>
            <w:smartTag w:uri="urn:schemas-microsoft-com:office:smarttags" w:element="PlaceName">
              <w:r>
                <w:rPr>
                  <w:spacing w:val="4"/>
                  <w:sz w:val="22"/>
                </w:rPr>
                <w:t>Tel–Aviv</w:t>
              </w:r>
            </w:smartTag>
            <w:r>
              <w:rPr>
                <w:spacing w:val="4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spacing w:val="4"/>
                  <w:sz w:val="22"/>
                </w:rPr>
                <w:t>University</w:t>
              </w:r>
            </w:smartTag>
            <w:r>
              <w:rPr>
                <w:spacing w:val="4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Tel–Aviv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Israel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1996 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“Re–constructing Theatre History: The Case of </w:t>
            </w:r>
            <w:r>
              <w:rPr>
                <w:i/>
                <w:spacing w:val="4"/>
                <w:sz w:val="22"/>
              </w:rPr>
              <w:t>Exiles”</w:t>
            </w:r>
            <w:r>
              <w:rPr>
                <w:spacing w:val="4"/>
                <w:sz w:val="22"/>
              </w:rPr>
              <w:t xml:space="preserve"> (lecture)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World Congress IFTR/FIRT (International Federation for Theatre Research), 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Tel–Aviv University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Israel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1997 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“Criteria for Canonization in Israeli Theatre: Re–evaluating the Identity of Hebrew Drama” (lecture; written in collaboration with </w:t>
            </w:r>
            <w:smartTag w:uri="urn:schemas-microsoft-com:office:smarttags" w:element="PersonName">
              <w:smartTagPr>
                <w:attr w:name="ProductID" w:val="Freddie Rokem"/>
              </w:smartTagPr>
              <w:r>
                <w:rPr>
                  <w:spacing w:val="4"/>
                  <w:sz w:val="22"/>
                </w:rPr>
                <w:t xml:space="preserve">Freddie </w:t>
              </w:r>
              <w:proofErr w:type="spellStart"/>
              <w:r>
                <w:rPr>
                  <w:spacing w:val="4"/>
                  <w:sz w:val="22"/>
                </w:rPr>
                <w:t>Rokem</w:t>
              </w:r>
            </w:smartTag>
            <w:proofErr w:type="spellEnd"/>
            <w:r>
              <w:rPr>
                <w:spacing w:val="4"/>
                <w:sz w:val="22"/>
              </w:rPr>
              <w:t xml:space="preserve">) 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IFTR/FIRT, 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Helsinki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Finland</w:t>
                </w:r>
              </w:smartTag>
            </w:smartTag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1998           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“Pinpointing the ‘Turning Point’: Osborne’s </w:t>
            </w:r>
            <w:r>
              <w:rPr>
                <w:i/>
                <w:iCs/>
                <w:spacing w:val="4"/>
                <w:sz w:val="22"/>
              </w:rPr>
              <w:t>Look Back in Anger</w:t>
            </w:r>
            <w:r>
              <w:rPr>
                <w:spacing w:val="4"/>
                <w:sz w:val="22"/>
              </w:rPr>
              <w:t>” (lecture)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World Congress IFTR/FIRT, 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Canterbury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UK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1999           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>“Dennis Potter: Whose Agent Are You, Any Way?” (lecture)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IFTR/FIRT, Theatre Historiography Working Group, </w:t>
            </w:r>
            <w:smartTag w:uri="urn:schemas-microsoft-com:office:smarttags" w:element="City">
              <w:r>
                <w:rPr>
                  <w:spacing w:val="4"/>
                  <w:sz w:val="22"/>
                </w:rPr>
                <w:t>Amsterdam</w:t>
              </w:r>
            </w:smartTag>
            <w:r>
              <w:rPr>
                <w:spacing w:val="4"/>
                <w:sz w:val="22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4"/>
                    <w:sz w:val="22"/>
                  </w:rPr>
                  <w:t>Netherlands</w:t>
                </w:r>
              </w:smartTag>
            </w:smartTag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  <w:szCs w:val="22"/>
                <w:rtl/>
              </w:rPr>
              <w:t>‏‏</w:t>
            </w:r>
            <w:r>
              <w:rPr>
                <w:spacing w:val="4"/>
                <w:sz w:val="22"/>
              </w:rPr>
              <w:t xml:space="preserve">2000 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“The Dated Impact of Joan </w:t>
            </w:r>
            <w:proofErr w:type="spellStart"/>
            <w:r>
              <w:rPr>
                <w:spacing w:val="4"/>
                <w:sz w:val="22"/>
              </w:rPr>
              <w:t>Littlewood</w:t>
            </w:r>
            <w:proofErr w:type="spellEnd"/>
            <w:r>
              <w:rPr>
                <w:spacing w:val="4"/>
                <w:sz w:val="22"/>
              </w:rPr>
              <w:t xml:space="preserve">” (lecture) 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American Society for Theatre Research, Seminar: “Research and Pedagogy for a Turbulent Decade: Self-Reflexive Practice and Radical Performance of the 1960s,”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New York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USA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widowControl w:val="0"/>
              <w:numPr>
                <w:ilvl w:val="0"/>
                <w:numId w:val="1"/>
              </w:numPr>
              <w:tabs>
                <w:tab w:val="clear" w:pos="1110"/>
              </w:tabs>
              <w:ind w:left="0" w:firstLine="0"/>
              <w:rPr>
                <w:spacing w:val="4"/>
                <w:sz w:val="22"/>
              </w:rPr>
            </w:pPr>
          </w:p>
        </w:tc>
        <w:tc>
          <w:tcPr>
            <w:tcW w:w="7740" w:type="dxa"/>
          </w:tcPr>
          <w:p w:rsidR="00146A88" w:rsidRDefault="00146A88" w:rsidP="009737D3">
            <w:pPr>
              <w:widowControl w:val="0"/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Chairing a session: “Historical Archives”. </w:t>
            </w:r>
          </w:p>
          <w:p w:rsidR="00146A88" w:rsidRDefault="00146A88" w:rsidP="009737D3">
            <w:pPr>
              <w:widowControl w:val="0"/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IFTR/FIRT, Theatre Historiography Working Group, </w:t>
            </w:r>
            <w:smartTag w:uri="urn:schemas-microsoft-com:office:smarttags" w:element="City">
              <w:r>
                <w:rPr>
                  <w:spacing w:val="4"/>
                  <w:sz w:val="22"/>
                </w:rPr>
                <w:t>Utrecht</w:t>
              </w:r>
            </w:smartTag>
            <w:r>
              <w:rPr>
                <w:spacing w:val="4"/>
                <w:sz w:val="22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Netherlands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bCs/>
                <w:spacing w:val="4"/>
                <w:sz w:val="22"/>
              </w:rPr>
            </w:pPr>
            <w:r>
              <w:rPr>
                <w:bCs/>
                <w:spacing w:val="4"/>
                <w:sz w:val="22"/>
              </w:rPr>
              <w:t>2002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bCs/>
                <w:spacing w:val="4"/>
                <w:sz w:val="22"/>
              </w:rPr>
            </w:pPr>
            <w:r>
              <w:rPr>
                <w:bCs/>
                <w:spacing w:val="4"/>
                <w:sz w:val="22"/>
              </w:rPr>
              <w:t xml:space="preserve">“Is the Future Present in the Past” </w:t>
            </w:r>
            <w:r>
              <w:rPr>
                <w:spacing w:val="4"/>
                <w:sz w:val="22"/>
              </w:rPr>
              <w:t>(lecture)</w:t>
            </w:r>
          </w:p>
          <w:p w:rsidR="00146A88" w:rsidRDefault="00146A88" w:rsidP="009737D3">
            <w:pPr>
              <w:rPr>
                <w:bCs/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World Congress IFTR/FIRT, Theatre Historiography Working Group, </w:t>
            </w:r>
            <w:smartTag w:uri="urn:schemas-microsoft-com:office:smarttags" w:element="City">
              <w:r>
                <w:rPr>
                  <w:spacing w:val="4"/>
                  <w:sz w:val="22"/>
                </w:rPr>
                <w:t>Amsterdam</w:t>
              </w:r>
            </w:smartTag>
            <w:r>
              <w:rPr>
                <w:spacing w:val="4"/>
                <w:sz w:val="22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pacing w:val="4"/>
                    <w:sz w:val="22"/>
                  </w:rPr>
                  <w:t>Netherlands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>2003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“Harold Pinter: The Playwright as a Critical Construct” (lecture; also chairing a session) IFTR/FIRT, 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Worcester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UK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t>2005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 w:rsidRPr="003B5AA5">
              <w:rPr>
                <w:szCs w:val="28"/>
              </w:rPr>
              <w:t xml:space="preserve">"Convergent Forces: The English Stage Company and </w:t>
            </w:r>
            <w:r w:rsidRPr="003B5AA5">
              <w:rPr>
                <w:i/>
                <w:iCs/>
                <w:szCs w:val="28"/>
              </w:rPr>
              <w:t>Look Back in Anger</w:t>
            </w:r>
            <w:r w:rsidRPr="003B5AA5">
              <w:rPr>
                <w:szCs w:val="28"/>
              </w:rPr>
              <w:t>"</w:t>
            </w:r>
            <w:r>
              <w:t xml:space="preserve"> </w:t>
            </w:r>
            <w:r>
              <w:rPr>
                <w:spacing w:val="4"/>
                <w:sz w:val="22"/>
              </w:rPr>
              <w:t xml:space="preserve">(lecture) </w:t>
            </w:r>
          </w:p>
          <w:p w:rsidR="00146A88" w:rsidRPr="00727352" w:rsidRDefault="00146A88" w:rsidP="009737D3">
            <w:r>
              <w:rPr>
                <w:spacing w:val="4"/>
                <w:sz w:val="22"/>
              </w:rPr>
              <w:t>IFTR/FIRT, Theatre Historiography Working Group,</w:t>
            </w:r>
            <w:r>
              <w:t xml:space="preserve"> </w:t>
            </w:r>
            <w:smartTag w:uri="urn:schemas-microsoft-com:office:smarttags" w:element="State">
              <w:r>
                <w:t>Maryland</w:t>
              </w:r>
            </w:smartTag>
            <w: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t>USA</w:t>
                </w:r>
              </w:smartTag>
            </w:smartTag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t>2006</w:t>
            </w:r>
          </w:p>
        </w:tc>
        <w:tc>
          <w:tcPr>
            <w:tcW w:w="7740" w:type="dxa"/>
          </w:tcPr>
          <w:p w:rsidR="00146A88" w:rsidRPr="006A5677" w:rsidRDefault="00146A88" w:rsidP="009737D3">
            <w:pPr>
              <w:ind w:left="113" w:hanging="113"/>
            </w:pPr>
            <w:r>
              <w:t>"</w:t>
            </w:r>
            <w:r w:rsidRPr="006A5677">
              <w:t>Dennis Potter: To Master Television</w:t>
            </w:r>
            <w:r>
              <w:t xml:space="preserve">" </w:t>
            </w:r>
            <w:r>
              <w:rPr>
                <w:spacing w:val="4"/>
                <w:sz w:val="22"/>
              </w:rPr>
              <w:t>(lecture)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 xml:space="preserve">World Congress IFTR/FIRT, 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Helsinki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Finland</w:t>
                </w:r>
              </w:smartTag>
            </w:smartTag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r>
              <w:t>2008</w:t>
            </w:r>
          </w:p>
        </w:tc>
        <w:tc>
          <w:tcPr>
            <w:tcW w:w="7740" w:type="dxa"/>
          </w:tcPr>
          <w:p w:rsidR="00146A88" w:rsidRDefault="00146A88" w:rsidP="009737D3">
            <w:r w:rsidRPr="00492BC0">
              <w:t>"The British New Wave: In the Wake of the Theatre"</w:t>
            </w:r>
            <w:r>
              <w:t xml:space="preserve"> </w:t>
            </w:r>
            <w:r>
              <w:rPr>
                <w:spacing w:val="4"/>
                <w:sz w:val="22"/>
              </w:rPr>
              <w:t>(lecture)</w:t>
            </w:r>
          </w:p>
          <w:p w:rsidR="00146A88" w:rsidRDefault="00146A88" w:rsidP="009737D3">
            <w:r>
              <w:rPr>
                <w:spacing w:val="4"/>
                <w:sz w:val="22"/>
              </w:rPr>
              <w:t xml:space="preserve">IFTR/FIRT, 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Ljubljana</w:t>
                </w:r>
              </w:smartTag>
              <w:r>
                <w:rPr>
                  <w:rStyle w:val="apple-style-span"/>
                  <w:rFonts w:ascii="Arial" w:hAnsi="Arial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EE7F0A">
                  <w:rPr>
                    <w:rStyle w:val="apple-style-span"/>
                  </w:rPr>
                  <w:t>Slovenia</w:t>
                </w:r>
              </w:smartTag>
            </w:smartTag>
            <w:r w:rsidRPr="00EE7F0A">
              <w:rPr>
                <w:rStyle w:val="apple-style-span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r>
              <w:t>2008</w:t>
            </w:r>
          </w:p>
        </w:tc>
        <w:tc>
          <w:tcPr>
            <w:tcW w:w="7740" w:type="dxa"/>
          </w:tcPr>
          <w:p w:rsidR="00146A88" w:rsidRDefault="00146A88" w:rsidP="009737D3">
            <w:r>
              <w:t>Cr</w:t>
            </w:r>
            <w:r w:rsidRPr="0022416B">
              <w:t xml:space="preserve">itics </w:t>
            </w:r>
            <w:r>
              <w:t>C</w:t>
            </w:r>
            <w:r w:rsidRPr="0022416B">
              <w:t xml:space="preserve">aught on the </w:t>
            </w:r>
            <w:r>
              <w:t>H</w:t>
            </w:r>
            <w:r w:rsidRPr="0022416B">
              <w:t xml:space="preserve">op: </w:t>
            </w:r>
            <w:r>
              <w:t>T</w:t>
            </w:r>
            <w:r w:rsidRPr="0022416B">
              <w:t xml:space="preserve">he </w:t>
            </w:r>
            <w:r>
              <w:t>R</w:t>
            </w:r>
            <w:r w:rsidRPr="0022416B">
              <w:t>eception of Sarah Kane"</w:t>
            </w:r>
            <w:r>
              <w:t xml:space="preserve"> </w:t>
            </w:r>
            <w:r>
              <w:rPr>
                <w:spacing w:val="4"/>
                <w:sz w:val="22"/>
              </w:rPr>
              <w:t>(lecture)</w:t>
            </w:r>
          </w:p>
          <w:p w:rsidR="00146A88" w:rsidRDefault="00146A88" w:rsidP="009737D3">
            <w:r>
              <w:t>Theatre &amp; Performance Research Association (</w:t>
            </w:r>
            <w:proofErr w:type="spellStart"/>
            <w:r>
              <w:t>T</w:t>
            </w:r>
            <w:r w:rsidRPr="0022416B">
              <w:t>aPRA</w:t>
            </w:r>
            <w:proofErr w:type="spellEnd"/>
            <w:r>
              <w:t>),</w:t>
            </w:r>
            <w:r w:rsidRPr="0022416B">
              <w:t xml:space="preserve"> Theatre History and Historiography Working Group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Leeds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UK</w:t>
                </w:r>
              </w:smartTag>
            </w:smartTag>
            <w: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r>
              <w:t>2009</w:t>
            </w:r>
          </w:p>
        </w:tc>
        <w:tc>
          <w:tcPr>
            <w:tcW w:w="7740" w:type="dxa"/>
          </w:tcPr>
          <w:p w:rsidR="00146A88" w:rsidRDefault="00146A88" w:rsidP="009737D3">
            <w:r w:rsidRPr="00CD1651">
              <w:t xml:space="preserve">"Dramatists </w:t>
            </w:r>
            <w:r>
              <w:t>under</w:t>
            </w:r>
            <w:r w:rsidRPr="00CD1651">
              <w:t xml:space="preserve"> a </w:t>
            </w:r>
            <w:r>
              <w:t>L</w:t>
            </w:r>
            <w:r w:rsidRPr="00CD1651">
              <w:t xml:space="preserve">abel: Martin </w:t>
            </w:r>
            <w:proofErr w:type="spellStart"/>
            <w:r w:rsidRPr="00CD1651">
              <w:t>Esslin's</w:t>
            </w:r>
            <w:proofErr w:type="spellEnd"/>
            <w:r w:rsidR="00677993">
              <w:t xml:space="preserve"> </w:t>
            </w:r>
            <w:r w:rsidRPr="00CD1651">
              <w:t xml:space="preserve"> </w:t>
            </w:r>
            <w:r w:rsidRPr="00CD1651">
              <w:rPr>
                <w:i/>
                <w:iCs/>
              </w:rPr>
              <w:t>The Theatre of the Absurd</w:t>
            </w:r>
            <w:r w:rsidRPr="00CD1651">
              <w:t xml:space="preserve"> and </w:t>
            </w:r>
            <w:proofErr w:type="spellStart"/>
            <w:r w:rsidRPr="00CD1651">
              <w:t>Aleks</w:t>
            </w:r>
            <w:proofErr w:type="spellEnd"/>
            <w:r w:rsidRPr="00CD1651">
              <w:t xml:space="preserve"> </w:t>
            </w:r>
            <w:proofErr w:type="spellStart"/>
            <w:r w:rsidRPr="00CD1651">
              <w:t>Sierz's</w:t>
            </w:r>
            <w:proofErr w:type="spellEnd"/>
            <w:r w:rsidR="00677993">
              <w:t xml:space="preserve"> </w:t>
            </w:r>
            <w:bookmarkStart w:id="0" w:name="_GoBack"/>
            <w:bookmarkEnd w:id="0"/>
            <w:r w:rsidRPr="00CD1651">
              <w:t xml:space="preserve"> </w:t>
            </w:r>
            <w:r w:rsidRPr="00CD1651">
              <w:rPr>
                <w:i/>
                <w:iCs/>
              </w:rPr>
              <w:t>In-</w:t>
            </w:r>
            <w:proofErr w:type="spellStart"/>
            <w:r w:rsidRPr="00CD1651">
              <w:rPr>
                <w:i/>
                <w:iCs/>
              </w:rPr>
              <w:t>Yer</w:t>
            </w:r>
            <w:proofErr w:type="spellEnd"/>
            <w:r w:rsidRPr="00CD1651">
              <w:rPr>
                <w:i/>
                <w:iCs/>
              </w:rPr>
              <w:t>-Face Theatr</w:t>
            </w:r>
            <w:r>
              <w:t>e</w:t>
            </w:r>
            <w:r w:rsidRPr="00CD1651">
              <w:t>"</w:t>
            </w:r>
            <w:r>
              <w:t xml:space="preserve"> </w:t>
            </w:r>
            <w:r>
              <w:rPr>
                <w:spacing w:val="4"/>
                <w:sz w:val="22"/>
              </w:rPr>
              <w:t>(lecture)</w:t>
            </w:r>
          </w:p>
          <w:p w:rsidR="00146A88" w:rsidRDefault="00146A88" w:rsidP="009737D3">
            <w:pPr>
              <w:ind w:left="113" w:hanging="113"/>
            </w:pPr>
            <w:r w:rsidRPr="00CD1651">
              <w:t xml:space="preserve"> </w:t>
            </w:r>
            <w:r>
              <w:rPr>
                <w:spacing w:val="4"/>
                <w:sz w:val="22"/>
              </w:rPr>
              <w:t>IFTR/FIRT, Theatre Historiography Working Group,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D1651">
                  <w:t>Lisbon</w:t>
                </w:r>
              </w:smartTag>
              <w:r w:rsidRPr="00CD1651">
                <w:t xml:space="preserve">, </w:t>
              </w:r>
              <w:smartTag w:uri="urn:schemas-microsoft-com:office:smarttags" w:element="country-region">
                <w:r w:rsidRPr="00CD1651">
                  <w:t>Portugal</w:t>
                </w:r>
              </w:smartTag>
            </w:smartTag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r>
              <w:t>2010</w:t>
            </w:r>
          </w:p>
        </w:tc>
        <w:tc>
          <w:tcPr>
            <w:tcW w:w="7740" w:type="dxa"/>
          </w:tcPr>
          <w:p w:rsidR="00146A88" w:rsidRPr="0014684B" w:rsidRDefault="00146A88" w:rsidP="009737D3">
            <w:pPr>
              <w:rPr>
                <w:spacing w:val="4"/>
                <w:sz w:val="22"/>
              </w:rPr>
            </w:pPr>
            <w:r>
              <w:t>C</w:t>
            </w:r>
            <w:r w:rsidRPr="00CD1651">
              <w:t>onven</w:t>
            </w:r>
            <w:r>
              <w:t xml:space="preserve">ing the meeting </w:t>
            </w:r>
            <w:r w:rsidRPr="00CD1651">
              <w:t>of</w:t>
            </w:r>
            <w:r>
              <w:rPr>
                <w:sz w:val="28"/>
                <w:szCs w:val="28"/>
              </w:rPr>
              <w:t xml:space="preserve"> </w:t>
            </w:r>
            <w:r w:rsidRPr="00492BC0"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"/>
                <w:sz w:val="22"/>
              </w:rPr>
              <w:t>Theatre Historiography Working Group,</w:t>
            </w:r>
            <w:r w:rsidRPr="00CD1651">
              <w:rPr>
                <w:spacing w:val="4"/>
                <w:sz w:val="22"/>
              </w:rPr>
              <w:t xml:space="preserve"> </w:t>
            </w:r>
            <w:r>
              <w:rPr>
                <w:spacing w:val="4"/>
                <w:sz w:val="22"/>
              </w:rPr>
              <w:t xml:space="preserve">IFTR/FIRT Conference, </w:t>
            </w:r>
            <w:proofErr w:type="gramStart"/>
            <w:smartTag w:uri="urn:schemas-microsoft-com:office:smarttags" w:element="place">
              <w:r>
                <w:rPr>
                  <w:spacing w:val="4"/>
                  <w:sz w:val="22"/>
                </w:rPr>
                <w:t>Munich</w:t>
              </w:r>
              <w:proofErr w:type="gramEnd"/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Germany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r>
              <w:t>2011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bCs/>
                <w:spacing w:val="4"/>
              </w:rPr>
            </w:pPr>
            <w:r w:rsidRPr="00C602A4">
              <w:rPr>
                <w:bCs/>
                <w:spacing w:val="4"/>
              </w:rPr>
              <w:t xml:space="preserve">"Martin </w:t>
            </w:r>
            <w:proofErr w:type="spellStart"/>
            <w:r w:rsidRPr="00C602A4">
              <w:rPr>
                <w:bCs/>
                <w:spacing w:val="4"/>
              </w:rPr>
              <w:t>McDonagh</w:t>
            </w:r>
            <w:proofErr w:type="spellEnd"/>
            <w:r w:rsidRPr="00C602A4">
              <w:rPr>
                <w:bCs/>
                <w:spacing w:val="4"/>
              </w:rPr>
              <w:t xml:space="preserve">: A Trajectory of the Split Image" </w:t>
            </w:r>
            <w:r>
              <w:rPr>
                <w:spacing w:val="4"/>
                <w:sz w:val="22"/>
              </w:rPr>
              <w:t>(lecture)</w:t>
            </w:r>
          </w:p>
          <w:p w:rsidR="00146A88" w:rsidRPr="0014684B" w:rsidRDefault="00146A88" w:rsidP="009737D3">
            <w:pPr>
              <w:rPr>
                <w:spacing w:val="4"/>
                <w:sz w:val="22"/>
              </w:rPr>
            </w:pPr>
            <w:r>
              <w:rPr>
                <w:bCs/>
                <w:spacing w:val="4"/>
              </w:rPr>
              <w:t>Also, c</w:t>
            </w:r>
            <w:r w:rsidRPr="00CC3DC1">
              <w:rPr>
                <w:bCs/>
                <w:spacing w:val="4"/>
              </w:rPr>
              <w:t>onvening</w:t>
            </w:r>
            <w:r w:rsidRPr="00CC3DC1">
              <w:t xml:space="preserve"> </w:t>
            </w:r>
            <w:r>
              <w:t xml:space="preserve">the meeting </w:t>
            </w:r>
            <w:r w:rsidRPr="00CD1651">
              <w:t>of</w:t>
            </w:r>
            <w:r>
              <w:rPr>
                <w:sz w:val="28"/>
                <w:szCs w:val="28"/>
              </w:rPr>
              <w:t xml:space="preserve"> </w:t>
            </w:r>
            <w:r w:rsidRPr="00492BC0"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"/>
                <w:sz w:val="22"/>
              </w:rPr>
              <w:t>Theatre Historiography Working Group,</w:t>
            </w:r>
            <w:r w:rsidRPr="00CD1651">
              <w:rPr>
                <w:spacing w:val="4"/>
                <w:sz w:val="22"/>
              </w:rPr>
              <w:t xml:space="preserve"> </w:t>
            </w:r>
            <w:r>
              <w:rPr>
                <w:spacing w:val="4"/>
                <w:sz w:val="22"/>
              </w:rPr>
              <w:t xml:space="preserve">IFTR/FIRT Conference, </w:t>
            </w:r>
            <w:proofErr w:type="gramStart"/>
            <w:smartTag w:uri="urn:schemas-microsoft-com:office:smarttags" w:element="place">
              <w:r>
                <w:rPr>
                  <w:spacing w:val="4"/>
                  <w:sz w:val="22"/>
                </w:rPr>
                <w:t>Osaka</w:t>
              </w:r>
              <w:proofErr w:type="gramEnd"/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Japan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</w:tc>
      </w:tr>
      <w:tr w:rsidR="00146A88" w:rsidTr="009737D3">
        <w:tc>
          <w:tcPr>
            <w:tcW w:w="1368" w:type="dxa"/>
          </w:tcPr>
          <w:p w:rsidR="00146A88" w:rsidRDefault="00146A88" w:rsidP="009737D3">
            <w:r>
              <w:t>2012</w:t>
            </w:r>
          </w:p>
        </w:tc>
        <w:tc>
          <w:tcPr>
            <w:tcW w:w="7740" w:type="dxa"/>
          </w:tcPr>
          <w:p w:rsidR="00146A88" w:rsidRDefault="00146A88" w:rsidP="009737D3">
            <w:pPr>
              <w:rPr>
                <w:spacing w:val="4"/>
                <w:sz w:val="22"/>
              </w:rPr>
            </w:pPr>
            <w:r>
              <w:t>C</w:t>
            </w:r>
            <w:r w:rsidRPr="00CD1651">
              <w:t>onven</w:t>
            </w:r>
            <w:r>
              <w:t xml:space="preserve">ing the meeting </w:t>
            </w:r>
            <w:r w:rsidRPr="00CD1651">
              <w:t>of</w:t>
            </w:r>
            <w:r>
              <w:rPr>
                <w:sz w:val="28"/>
                <w:szCs w:val="28"/>
              </w:rPr>
              <w:t xml:space="preserve"> </w:t>
            </w:r>
            <w:r w:rsidRPr="00492BC0">
              <w:t>the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4"/>
                <w:sz w:val="22"/>
              </w:rPr>
              <w:t xml:space="preserve">Theatre Historiography Working Group,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pacing w:val="4"/>
                    <w:sz w:val="22"/>
                  </w:rPr>
                  <w:t>Warwick</w:t>
                </w:r>
              </w:smartTag>
              <w:r>
                <w:rPr>
                  <w:spacing w:val="4"/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pacing w:val="4"/>
                    <w:sz w:val="22"/>
                  </w:rPr>
                  <w:t>UK</w:t>
                </w:r>
              </w:smartTag>
            </w:smartTag>
            <w:r>
              <w:rPr>
                <w:spacing w:val="4"/>
                <w:sz w:val="22"/>
              </w:rPr>
              <w:t>.</w:t>
            </w:r>
          </w:p>
          <w:p w:rsidR="00146A88" w:rsidRPr="00C602A4" w:rsidRDefault="00146A88" w:rsidP="009737D3">
            <w:pPr>
              <w:rPr>
                <w:bCs/>
                <w:spacing w:val="4"/>
              </w:rPr>
            </w:pPr>
          </w:p>
        </w:tc>
      </w:tr>
      <w:tr w:rsidR="00146A88" w:rsidTr="009737D3">
        <w:tc>
          <w:tcPr>
            <w:tcW w:w="1368" w:type="dxa"/>
          </w:tcPr>
          <w:tbl>
            <w:tblPr>
              <w:tblW w:w="9108" w:type="dxa"/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7740"/>
            </w:tblGrid>
            <w:tr w:rsidR="00146A88" w:rsidRPr="00C602A4" w:rsidTr="009737D3">
              <w:tc>
                <w:tcPr>
                  <w:tcW w:w="1368" w:type="dxa"/>
                </w:tcPr>
                <w:tbl>
                  <w:tblPr>
                    <w:tblW w:w="9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68"/>
                    <w:gridCol w:w="7740"/>
                  </w:tblGrid>
                  <w:tr w:rsidR="00146A88" w:rsidRPr="00C602A4" w:rsidTr="009737D3">
                    <w:tc>
                      <w:tcPr>
                        <w:tcW w:w="1368" w:type="dxa"/>
                      </w:tcPr>
                      <w:p w:rsidR="00146A88" w:rsidRDefault="00146A88" w:rsidP="009737D3">
                        <w:r>
                          <w:lastRenderedPageBreak/>
                          <w:t>2013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146A88" w:rsidRDefault="00146A88" w:rsidP="009737D3">
                        <w:pPr>
                          <w:rPr>
                            <w:spacing w:val="4"/>
                            <w:sz w:val="22"/>
                          </w:rPr>
                        </w:pPr>
                        <w:r>
                          <w:t xml:space="preserve">“Rewriting Theatre Histories: Viewing the 1950s and 1960s Six Decades Later” </w:t>
                        </w:r>
                        <w:r>
                          <w:rPr>
                            <w:spacing w:val="4"/>
                            <w:sz w:val="22"/>
                          </w:rPr>
                          <w:t>IFTR/FIRT, Theatre Historiography Working Group, Warwick, UK.</w:t>
                        </w:r>
                      </w:p>
                      <w:p w:rsidR="00146A88" w:rsidRPr="00C602A4" w:rsidRDefault="00146A88" w:rsidP="009737D3">
                        <w:pPr>
                          <w:rPr>
                            <w:bCs/>
                            <w:spacing w:val="4"/>
                          </w:rPr>
                        </w:pPr>
                      </w:p>
                    </w:tc>
                  </w:tr>
                </w:tbl>
                <w:p w:rsidR="00146A88" w:rsidRDefault="00146A88" w:rsidP="009737D3"/>
              </w:tc>
              <w:tc>
                <w:tcPr>
                  <w:tcW w:w="7740" w:type="dxa"/>
                </w:tcPr>
                <w:p w:rsidR="00146A88" w:rsidRDefault="00146A88" w:rsidP="009737D3">
                  <w:pPr>
                    <w:rPr>
                      <w:spacing w:val="4"/>
                      <w:sz w:val="22"/>
                    </w:rPr>
                  </w:pPr>
                  <w:r>
                    <w:t xml:space="preserve">“Rewriting Theatre Histories: Viewing the 1950s and 1960s Six Decades Later” </w:t>
                  </w:r>
                  <w:r>
                    <w:rPr>
                      <w:spacing w:val="4"/>
                      <w:sz w:val="22"/>
                    </w:rPr>
                    <w:t>IFTR/FIRT, Theatre Historiography Working Group, Warwick, UK.</w:t>
                  </w:r>
                </w:p>
                <w:p w:rsidR="00146A88" w:rsidRPr="00C602A4" w:rsidRDefault="00146A88" w:rsidP="009737D3">
                  <w:pPr>
                    <w:rPr>
                      <w:bCs/>
                      <w:spacing w:val="4"/>
                    </w:rPr>
                  </w:pPr>
                </w:p>
              </w:tc>
            </w:tr>
          </w:tbl>
          <w:p w:rsidR="00146A88" w:rsidRDefault="00146A88" w:rsidP="009737D3"/>
        </w:tc>
        <w:tc>
          <w:tcPr>
            <w:tcW w:w="7740" w:type="dxa"/>
          </w:tcPr>
          <w:p w:rsidR="00677993" w:rsidRDefault="00146A88" w:rsidP="00677993">
            <w:pPr>
              <w:rPr>
                <w:spacing w:val="4"/>
                <w:sz w:val="22"/>
              </w:rPr>
            </w:pPr>
            <w:r>
              <w:t xml:space="preserve">“The Evolving Process of an Historical View: </w:t>
            </w:r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Sierz</w:t>
            </w:r>
            <w:proofErr w:type="spellEnd"/>
            <w:r>
              <w:t xml:space="preserve"> and the British Theatre in the 1990s” </w:t>
            </w:r>
            <w:r w:rsidR="00677993">
              <w:rPr>
                <w:spacing w:val="4"/>
                <w:sz w:val="22"/>
              </w:rPr>
              <w:t xml:space="preserve"> (lecture)</w:t>
            </w:r>
          </w:p>
          <w:p w:rsidR="00146A88" w:rsidRPr="00C602A4" w:rsidRDefault="00146A88" w:rsidP="009737D3">
            <w:pPr>
              <w:rPr>
                <w:bCs/>
                <w:spacing w:val="4"/>
              </w:rPr>
            </w:pPr>
            <w:r>
              <w:rPr>
                <w:spacing w:val="4"/>
                <w:sz w:val="22"/>
              </w:rPr>
              <w:t>IFTR/FIRT, Theatre Historiography Working Group, Barcelona, Spain.</w:t>
            </w:r>
          </w:p>
        </w:tc>
      </w:tr>
      <w:tr w:rsidR="00146A88" w:rsidRPr="00C602A4" w:rsidTr="009737D3">
        <w:tc>
          <w:tcPr>
            <w:tcW w:w="1368" w:type="dxa"/>
          </w:tcPr>
          <w:tbl>
            <w:tblPr>
              <w:tblW w:w="9108" w:type="dxa"/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7740"/>
            </w:tblGrid>
            <w:tr w:rsidR="00146A88" w:rsidRPr="00C602A4" w:rsidTr="009737D3">
              <w:tc>
                <w:tcPr>
                  <w:tcW w:w="1368" w:type="dxa"/>
                </w:tcPr>
                <w:tbl>
                  <w:tblPr>
                    <w:tblW w:w="9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68"/>
                    <w:gridCol w:w="7740"/>
                  </w:tblGrid>
                  <w:tr w:rsidR="00146A88" w:rsidRPr="00C602A4" w:rsidTr="009737D3">
                    <w:tc>
                      <w:tcPr>
                        <w:tcW w:w="1368" w:type="dxa"/>
                      </w:tcPr>
                      <w:p w:rsidR="00146A88" w:rsidRDefault="00146A88" w:rsidP="009737D3">
                        <w:r>
                          <w:t>2014</w:t>
                        </w:r>
                      </w:p>
                    </w:tc>
                    <w:tc>
                      <w:tcPr>
                        <w:tcW w:w="7740" w:type="dxa"/>
                      </w:tcPr>
                      <w:p w:rsidR="00146A88" w:rsidRDefault="00146A88" w:rsidP="009737D3">
                        <w:pPr>
                          <w:rPr>
                            <w:spacing w:val="4"/>
                            <w:sz w:val="22"/>
                          </w:rPr>
                        </w:pPr>
                        <w:r>
                          <w:t xml:space="preserve">“Rewriting Theatre Histories: Viewing the 1950s and 1960s Six Decades Later” </w:t>
                        </w:r>
                        <w:r>
                          <w:rPr>
                            <w:spacing w:val="4"/>
                            <w:sz w:val="22"/>
                          </w:rPr>
                          <w:t>IFTR/FIRT, Theatre Historiography Working Group, Warwick, UK.</w:t>
                        </w:r>
                      </w:p>
                      <w:p w:rsidR="00146A88" w:rsidRPr="00C602A4" w:rsidRDefault="00146A88" w:rsidP="009737D3">
                        <w:pPr>
                          <w:rPr>
                            <w:bCs/>
                            <w:spacing w:val="4"/>
                          </w:rPr>
                        </w:pPr>
                      </w:p>
                    </w:tc>
                  </w:tr>
                </w:tbl>
                <w:p w:rsidR="00146A88" w:rsidRDefault="00146A88" w:rsidP="009737D3"/>
              </w:tc>
              <w:tc>
                <w:tcPr>
                  <w:tcW w:w="7740" w:type="dxa"/>
                </w:tcPr>
                <w:p w:rsidR="00146A88" w:rsidRDefault="00146A88" w:rsidP="009737D3">
                  <w:pPr>
                    <w:rPr>
                      <w:spacing w:val="4"/>
                      <w:sz w:val="22"/>
                    </w:rPr>
                  </w:pPr>
                  <w:r>
                    <w:t xml:space="preserve">“Rewriting Theatre Histories: Viewing the 1950s and 1960s Six Decades Later” </w:t>
                  </w:r>
                  <w:r>
                    <w:rPr>
                      <w:spacing w:val="4"/>
                      <w:sz w:val="22"/>
                    </w:rPr>
                    <w:t>IFTR/FIRT, Theatre Historiography Working Group, Warwick, UK.</w:t>
                  </w:r>
                </w:p>
                <w:p w:rsidR="00146A88" w:rsidRPr="00C602A4" w:rsidRDefault="00146A88" w:rsidP="009737D3">
                  <w:pPr>
                    <w:rPr>
                      <w:bCs/>
                      <w:spacing w:val="4"/>
                    </w:rPr>
                  </w:pPr>
                </w:p>
              </w:tc>
            </w:tr>
          </w:tbl>
          <w:p w:rsidR="00146A88" w:rsidRDefault="00146A88" w:rsidP="009737D3"/>
        </w:tc>
        <w:tc>
          <w:tcPr>
            <w:tcW w:w="7740" w:type="dxa"/>
          </w:tcPr>
          <w:p w:rsidR="00677993" w:rsidRDefault="00146A88" w:rsidP="009737D3">
            <w:pPr>
              <w:rPr>
                <w:spacing w:val="4"/>
                <w:sz w:val="22"/>
              </w:rPr>
            </w:pPr>
            <w:r>
              <w:t xml:space="preserve">“Rewriting Theatre Histories: Viewing the 1950s and 1960s Six Decades Later” </w:t>
            </w:r>
            <w:r w:rsidR="00677993">
              <w:rPr>
                <w:spacing w:val="4"/>
                <w:sz w:val="22"/>
              </w:rPr>
              <w:t>(lecture)</w:t>
            </w:r>
          </w:p>
          <w:p w:rsidR="00146A88" w:rsidRDefault="00146A88" w:rsidP="009737D3">
            <w:pPr>
              <w:rPr>
                <w:spacing w:val="4"/>
                <w:sz w:val="22"/>
              </w:rPr>
            </w:pPr>
            <w:r>
              <w:rPr>
                <w:spacing w:val="4"/>
                <w:sz w:val="22"/>
              </w:rPr>
              <w:t>IFTR/FIRT, Theatre Historiography Working Group, Warwick, UK.</w:t>
            </w:r>
          </w:p>
          <w:p w:rsidR="00146A88" w:rsidRPr="00C602A4" w:rsidRDefault="00146A88" w:rsidP="009737D3">
            <w:pPr>
              <w:rPr>
                <w:bCs/>
                <w:spacing w:val="4"/>
              </w:rPr>
            </w:pPr>
          </w:p>
        </w:tc>
      </w:tr>
    </w:tbl>
    <w:p w:rsidR="001B7AB7" w:rsidRDefault="001B7AB7"/>
    <w:sectPr w:rsidR="001B7A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00"/>
    <w:multiLevelType w:val="singleLevel"/>
    <w:tmpl w:val="3F10CFFA"/>
    <w:lvl w:ilvl="0">
      <w:start w:val="200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8"/>
    <w:rsid w:val="00093FCE"/>
    <w:rsid w:val="000B0F29"/>
    <w:rsid w:val="000D4787"/>
    <w:rsid w:val="000F4427"/>
    <w:rsid w:val="00126988"/>
    <w:rsid w:val="001377D0"/>
    <w:rsid w:val="00146A88"/>
    <w:rsid w:val="00174CD3"/>
    <w:rsid w:val="001B7AB7"/>
    <w:rsid w:val="001B7D27"/>
    <w:rsid w:val="001D6D33"/>
    <w:rsid w:val="00237A28"/>
    <w:rsid w:val="00250C95"/>
    <w:rsid w:val="00257D6E"/>
    <w:rsid w:val="002677BE"/>
    <w:rsid w:val="00273572"/>
    <w:rsid w:val="0027682D"/>
    <w:rsid w:val="00280C7A"/>
    <w:rsid w:val="002970D0"/>
    <w:rsid w:val="002D5864"/>
    <w:rsid w:val="002F5D48"/>
    <w:rsid w:val="00302859"/>
    <w:rsid w:val="00374268"/>
    <w:rsid w:val="00382545"/>
    <w:rsid w:val="00393261"/>
    <w:rsid w:val="00393D0D"/>
    <w:rsid w:val="0039422D"/>
    <w:rsid w:val="003A1AE7"/>
    <w:rsid w:val="003B1A60"/>
    <w:rsid w:val="003C2DD1"/>
    <w:rsid w:val="003D060B"/>
    <w:rsid w:val="00405AC7"/>
    <w:rsid w:val="004247E3"/>
    <w:rsid w:val="0047146C"/>
    <w:rsid w:val="004A0F68"/>
    <w:rsid w:val="004E6FA4"/>
    <w:rsid w:val="004F4751"/>
    <w:rsid w:val="00511592"/>
    <w:rsid w:val="00511A84"/>
    <w:rsid w:val="00540E66"/>
    <w:rsid w:val="00546D4E"/>
    <w:rsid w:val="00597A13"/>
    <w:rsid w:val="005D220B"/>
    <w:rsid w:val="00617433"/>
    <w:rsid w:val="00677993"/>
    <w:rsid w:val="006A3314"/>
    <w:rsid w:val="006F2BDD"/>
    <w:rsid w:val="0074663D"/>
    <w:rsid w:val="00790856"/>
    <w:rsid w:val="00790C29"/>
    <w:rsid w:val="0079433B"/>
    <w:rsid w:val="007D20D3"/>
    <w:rsid w:val="007F32DD"/>
    <w:rsid w:val="007F59F9"/>
    <w:rsid w:val="008337BF"/>
    <w:rsid w:val="008B575F"/>
    <w:rsid w:val="008C7221"/>
    <w:rsid w:val="008D205C"/>
    <w:rsid w:val="008F4662"/>
    <w:rsid w:val="009115E2"/>
    <w:rsid w:val="009377B1"/>
    <w:rsid w:val="00957B9D"/>
    <w:rsid w:val="00971201"/>
    <w:rsid w:val="00995CB0"/>
    <w:rsid w:val="009B2760"/>
    <w:rsid w:val="009C4D91"/>
    <w:rsid w:val="009C578E"/>
    <w:rsid w:val="00A33BE4"/>
    <w:rsid w:val="00A50291"/>
    <w:rsid w:val="00A74CE4"/>
    <w:rsid w:val="00AB6268"/>
    <w:rsid w:val="00B1275D"/>
    <w:rsid w:val="00B76E5E"/>
    <w:rsid w:val="00BC0FDF"/>
    <w:rsid w:val="00BD210C"/>
    <w:rsid w:val="00BD54EC"/>
    <w:rsid w:val="00BF44D3"/>
    <w:rsid w:val="00C00E98"/>
    <w:rsid w:val="00C42F55"/>
    <w:rsid w:val="00C708E4"/>
    <w:rsid w:val="00CA3E00"/>
    <w:rsid w:val="00CF2824"/>
    <w:rsid w:val="00D26EFF"/>
    <w:rsid w:val="00D41D82"/>
    <w:rsid w:val="00D62E34"/>
    <w:rsid w:val="00D825DD"/>
    <w:rsid w:val="00D8582D"/>
    <w:rsid w:val="00D86123"/>
    <w:rsid w:val="00DA5A9D"/>
    <w:rsid w:val="00DE01F7"/>
    <w:rsid w:val="00E013C9"/>
    <w:rsid w:val="00E1140A"/>
    <w:rsid w:val="00E37CD8"/>
    <w:rsid w:val="00E5062A"/>
    <w:rsid w:val="00E55DD3"/>
    <w:rsid w:val="00EE70AD"/>
    <w:rsid w:val="00EF4FCC"/>
    <w:rsid w:val="00F543F7"/>
    <w:rsid w:val="00F5475E"/>
    <w:rsid w:val="00F60DCD"/>
    <w:rsid w:val="00F705F3"/>
    <w:rsid w:val="00F8731F"/>
    <w:rsid w:val="00FB2BEB"/>
    <w:rsid w:val="00FB2C38"/>
    <w:rsid w:val="00FB5E6B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4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2015-02-28T11:52:00Z</dcterms:created>
  <dcterms:modified xsi:type="dcterms:W3CDTF">2015-03-02T08:45:00Z</dcterms:modified>
</cp:coreProperties>
</file>