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D7" w:rsidRPr="00CB36D7" w:rsidRDefault="00CB36D7" w:rsidP="001A0CB9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B36D7">
        <w:rPr>
          <w:rFonts w:ascii="David" w:hAnsi="David" w:cs="David" w:hint="cs"/>
          <w:b/>
          <w:bCs/>
          <w:sz w:val="28"/>
          <w:szCs w:val="28"/>
          <w:rtl/>
        </w:rPr>
        <w:t>משפט מינהלי</w:t>
      </w:r>
    </w:p>
    <w:p w:rsidR="00EB10F5" w:rsidRDefault="00EB10F5" w:rsidP="001A0CB9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B36D7">
        <w:rPr>
          <w:rFonts w:ascii="David" w:hAnsi="David" w:cs="David" w:hint="cs"/>
          <w:b/>
          <w:bCs/>
          <w:sz w:val="28"/>
          <w:szCs w:val="28"/>
          <w:rtl/>
        </w:rPr>
        <w:t>נקודות ל</w:t>
      </w:r>
      <w:r w:rsidR="00CB36D7">
        <w:rPr>
          <w:rFonts w:ascii="David" w:hAnsi="David" w:cs="David" w:hint="cs"/>
          <w:b/>
          <w:bCs/>
          <w:sz w:val="28"/>
          <w:szCs w:val="28"/>
          <w:rtl/>
        </w:rPr>
        <w:t>פתרון</w:t>
      </w:r>
      <w:r w:rsidRPr="00CB36D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CB36D7">
        <w:rPr>
          <w:rFonts w:ascii="David" w:hAnsi="David" w:cs="David"/>
          <w:b/>
          <w:bCs/>
          <w:sz w:val="28"/>
          <w:szCs w:val="28"/>
          <w:rtl/>
        </w:rPr>
        <w:t>–</w:t>
      </w:r>
      <w:r w:rsidRPr="00CB36D7">
        <w:rPr>
          <w:rFonts w:ascii="David" w:hAnsi="David" w:cs="David" w:hint="cs"/>
          <w:b/>
          <w:bCs/>
          <w:sz w:val="28"/>
          <w:szCs w:val="28"/>
          <w:rtl/>
        </w:rPr>
        <w:t xml:space="preserve"> מועד א'</w:t>
      </w:r>
    </w:p>
    <w:p w:rsidR="001A0CB9" w:rsidRDefault="001A0CB9" w:rsidP="001A0CB9">
      <w:pPr>
        <w:spacing w:after="0" w:line="240" w:lineRule="auto"/>
        <w:jc w:val="both"/>
        <w:rPr>
          <w:rFonts w:cs="David"/>
          <w:rtl/>
        </w:rPr>
      </w:pPr>
    </w:p>
    <w:p w:rsidR="001A0CB9" w:rsidRPr="001A0CB9" w:rsidRDefault="001A0CB9" w:rsidP="001A0CB9">
      <w:pPr>
        <w:spacing w:after="0"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>שימו לב להלן קווים כללים לפתרון אך יש לעיין גם בהערות המופיעות במחברת הבחינה</w:t>
      </w:r>
    </w:p>
    <w:p w:rsidR="001A0CB9" w:rsidRDefault="001A0CB9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</w:p>
    <w:p w:rsidR="00EB10F5" w:rsidRDefault="00EB10F5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חלק ראשון</w:t>
      </w:r>
    </w:p>
    <w:p w:rsidR="001A0CB9" w:rsidRDefault="001A0CB9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</w:p>
    <w:p w:rsidR="00EB10F5" w:rsidRDefault="00EB10F5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שאלה 1 </w:t>
      </w:r>
      <w:r w:rsidR="00CB36D7">
        <w:rPr>
          <w:rFonts w:cs="David" w:hint="cs"/>
          <w:b/>
          <w:bCs/>
          <w:u w:val="single"/>
          <w:rtl/>
        </w:rPr>
        <w:t>(35% מהציון)</w:t>
      </w:r>
    </w:p>
    <w:p w:rsidR="00EB10F5" w:rsidRDefault="00E14801" w:rsidP="001A0CB9">
      <w:pPr>
        <w:numPr>
          <w:ilvl w:val="0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התשתית לחוק ולתקנות</w:t>
      </w:r>
      <w:r w:rsidR="00281CAF">
        <w:rPr>
          <w:rFonts w:cs="David" w:hint="cs"/>
          <w:rtl/>
        </w:rPr>
        <w:t xml:space="preserve"> (</w:t>
      </w:r>
      <w:r w:rsidR="006906D4">
        <w:rPr>
          <w:rFonts w:cs="David" w:hint="cs"/>
          <w:rtl/>
        </w:rPr>
        <w:t>15%</w:t>
      </w:r>
      <w:r w:rsidR="00281CAF">
        <w:rPr>
          <w:rFonts w:cs="David" w:hint="cs"/>
          <w:rtl/>
        </w:rPr>
        <w:t>)</w:t>
      </w:r>
    </w:p>
    <w:p w:rsidR="0005163E" w:rsidRPr="00E14801" w:rsidRDefault="00E14801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פניית הארגון- </w:t>
      </w:r>
      <w:r w:rsidRPr="00E14801">
        <w:rPr>
          <w:rFonts w:cs="David"/>
          <w:rtl/>
        </w:rPr>
        <w:t>האם מותר לשר לפעול על בסיס פנייה יזומה של גורם בשוק?</w:t>
      </w:r>
      <w:r>
        <w:rPr>
          <w:rFonts w:cs="David" w:hint="cs"/>
          <w:rtl/>
        </w:rPr>
        <w:t xml:space="preserve"> </w:t>
      </w:r>
      <w:r w:rsidRPr="00E14801">
        <w:rPr>
          <w:rFonts w:cs="David" w:hint="cs"/>
          <w:rtl/>
        </w:rPr>
        <w:t>האם הפגישה עם הארגון עולה כדי היוועצות וולנטרית?</w:t>
      </w:r>
    </w:p>
    <w:p w:rsidR="00A373E5" w:rsidRPr="00E14801" w:rsidRDefault="00E14801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הוועדה- </w:t>
      </w:r>
      <w:r w:rsidR="0005163E">
        <w:rPr>
          <w:rFonts w:cs="David" w:hint="cs"/>
          <w:rtl/>
        </w:rPr>
        <w:t>האם חברי הוועדה מתאימים/מקצועיים</w:t>
      </w:r>
      <w:r>
        <w:rPr>
          <w:rFonts w:cs="David" w:hint="cs"/>
          <w:rtl/>
        </w:rPr>
        <w:t>/רלוונטיים</w:t>
      </w:r>
      <w:r w:rsidR="0005163E">
        <w:rPr>
          <w:rFonts w:cs="David" w:hint="cs"/>
          <w:rtl/>
        </w:rPr>
        <w:t>?</w:t>
      </w:r>
      <w:r>
        <w:rPr>
          <w:rFonts w:cs="David" w:hint="cs"/>
          <w:rtl/>
        </w:rPr>
        <w:t xml:space="preserve"> האם חסר מישהו (גורם מקצועי יותר/ייצוג הציבור/חברות התחבורה)? </w:t>
      </w:r>
      <w:r w:rsidR="00C459FE" w:rsidRPr="00E14801">
        <w:rPr>
          <w:rFonts w:cs="David" w:hint="cs"/>
          <w:rtl/>
        </w:rPr>
        <w:t>האם מותר לשר להעביר חלק מההחלטה (או להיוועץ) עם משרד אחר (משרד הפנים)</w:t>
      </w:r>
      <w:r w:rsidRPr="00E14801">
        <w:rPr>
          <w:rFonts w:cs="David" w:hint="cs"/>
          <w:rtl/>
        </w:rPr>
        <w:t>?</w:t>
      </w:r>
    </w:p>
    <w:p w:rsidR="0005163E" w:rsidRDefault="0005163E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 w:rsidRPr="006303F1">
        <w:rPr>
          <w:rFonts w:cs="David" w:hint="cs"/>
          <w:rtl/>
        </w:rPr>
        <w:t>דיון ב</w:t>
      </w:r>
      <w:r w:rsidR="00E14801">
        <w:rPr>
          <w:rFonts w:cs="David" w:hint="cs"/>
          <w:rtl/>
        </w:rPr>
        <w:t xml:space="preserve">עקרון </w:t>
      </w:r>
      <w:r w:rsidRPr="006303F1">
        <w:rPr>
          <w:rFonts w:cs="David" w:hint="cs"/>
          <w:rtl/>
        </w:rPr>
        <w:t>עצמאות שיקול הדעת</w:t>
      </w:r>
      <w:r>
        <w:rPr>
          <w:rFonts w:cs="David" w:hint="cs"/>
          <w:rtl/>
        </w:rPr>
        <w:t xml:space="preserve"> והחובה להפעיל שק"ד</w:t>
      </w:r>
      <w:r w:rsidR="00E14801">
        <w:rPr>
          <w:rFonts w:cs="David" w:hint="cs"/>
          <w:rtl/>
        </w:rPr>
        <w:t xml:space="preserve">- </w:t>
      </w:r>
      <w:r w:rsidRPr="006303F1">
        <w:rPr>
          <w:rFonts w:cs="David" w:hint="cs"/>
          <w:rtl/>
        </w:rPr>
        <w:t xml:space="preserve">האם </w:t>
      </w:r>
      <w:r w:rsidR="00E14801">
        <w:rPr>
          <w:rFonts w:cs="David" w:hint="cs"/>
          <w:rtl/>
        </w:rPr>
        <w:t xml:space="preserve">השר התייעץ עם הוועדה </w:t>
      </w:r>
      <w:r w:rsidRPr="006303F1">
        <w:rPr>
          <w:rFonts w:cs="David" w:hint="cs"/>
          <w:rtl/>
        </w:rPr>
        <w:t xml:space="preserve">היוועצות </w:t>
      </w:r>
      <w:r>
        <w:rPr>
          <w:rFonts w:cs="David" w:hint="cs"/>
          <w:rtl/>
        </w:rPr>
        <w:t xml:space="preserve">תקינה או </w:t>
      </w:r>
      <w:r w:rsidR="00E14801">
        <w:rPr>
          <w:rFonts w:cs="David" w:hint="cs"/>
          <w:rtl/>
        </w:rPr>
        <w:t>שמדובר ב</w:t>
      </w:r>
      <w:r>
        <w:rPr>
          <w:rFonts w:cs="David" w:hint="cs"/>
          <w:rtl/>
        </w:rPr>
        <w:t xml:space="preserve">אצילה של </w:t>
      </w:r>
      <w:r w:rsidRPr="006303F1">
        <w:rPr>
          <w:rFonts w:cs="David" w:hint="cs"/>
          <w:rtl/>
        </w:rPr>
        <w:t xml:space="preserve">שיקול הדעת תוך אימוץ עיוור של עמדת </w:t>
      </w:r>
      <w:r>
        <w:rPr>
          <w:rFonts w:cs="David" w:hint="cs"/>
          <w:rtl/>
        </w:rPr>
        <w:t>הוועדה</w:t>
      </w:r>
      <w:r w:rsidRPr="006303F1">
        <w:rPr>
          <w:rFonts w:cs="David" w:hint="cs"/>
          <w:rtl/>
        </w:rPr>
        <w:t>?</w:t>
      </w:r>
    </w:p>
    <w:p w:rsidR="0005163E" w:rsidRDefault="006D765A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שאלת התשתית העובדתית- </w:t>
      </w:r>
      <w:r w:rsidR="001B2C87" w:rsidRPr="001B2C87">
        <w:rPr>
          <w:rFonts w:cs="David"/>
          <w:rtl/>
        </w:rPr>
        <w:t>האם השר לא חייב ליצור תשתית עובדתית להתקנות התקנות?</w:t>
      </w:r>
      <w:r w:rsidR="001B2C87">
        <w:rPr>
          <w:rFonts w:cs="David" w:hint="cs"/>
          <w:rtl/>
        </w:rPr>
        <w:t xml:space="preserve"> </w:t>
      </w:r>
      <w:r w:rsidR="0005163E">
        <w:rPr>
          <w:rFonts w:cs="David" w:hint="cs"/>
          <w:rtl/>
        </w:rPr>
        <w:t>האם פגישה אחת מספיקה?</w:t>
      </w:r>
      <w:r w:rsidR="00E14801">
        <w:rPr>
          <w:rFonts w:cs="David" w:hint="cs"/>
          <w:rtl/>
        </w:rPr>
        <w:t xml:space="preserve"> האם הדו"ח מספיק? </w:t>
      </w:r>
      <w:r w:rsidR="001B2C87" w:rsidRPr="001B2C87">
        <w:rPr>
          <w:rFonts w:cs="David"/>
          <w:rtl/>
        </w:rPr>
        <w:t>-</w:t>
      </w:r>
      <w:r w:rsidR="001B2C87" w:rsidRPr="001B2C87">
        <w:rPr>
          <w:rFonts w:cs="David"/>
          <w:rtl/>
        </w:rPr>
        <w:tab/>
        <w:t>ה</w:t>
      </w:r>
      <w:bookmarkStart w:id="0" w:name="_GoBack"/>
      <w:bookmarkEnd w:id="0"/>
      <w:r w:rsidR="001B2C87" w:rsidRPr="001B2C87">
        <w:rPr>
          <w:rFonts w:cs="David"/>
          <w:rtl/>
        </w:rPr>
        <w:t>אם השר לא חייב להפיגש עם החברות הציבוריות ועם החברות הפרטיות כדי לשמוע גם את הצד השני ולא רק את הנוסעים?</w:t>
      </w:r>
    </w:p>
    <w:p w:rsidR="00281CAF" w:rsidRPr="00E14801" w:rsidRDefault="00281CAF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 w:rsidRPr="00281CAF">
        <w:rPr>
          <w:rFonts w:cs="David"/>
          <w:rtl/>
        </w:rPr>
        <w:t>חוות הדעת של מר אילן</w:t>
      </w:r>
      <w:r w:rsidR="00E14801">
        <w:rPr>
          <w:rFonts w:cs="David" w:hint="cs"/>
          <w:rtl/>
        </w:rPr>
        <w:t xml:space="preserve">- האם נשמר עקרון עצמאות שיקול הדעת </w:t>
      </w:r>
      <w:r w:rsidRPr="00E14801">
        <w:rPr>
          <w:rFonts w:cs="David" w:hint="cs"/>
          <w:rtl/>
        </w:rPr>
        <w:t>(קבלת ההחלטה בתום שיחה קצרה איתו)</w:t>
      </w:r>
      <w:r w:rsidR="00E14801">
        <w:rPr>
          <w:rFonts w:cs="David" w:hint="cs"/>
          <w:rtl/>
        </w:rPr>
        <w:t>? האם בכלל מותר להתייעץ עם גורם פרטי? האם יש חשש לניגוד עניינים? האם נשקלו שיקולים זרים?</w:t>
      </w:r>
    </w:p>
    <w:p w:rsidR="00EB10F5" w:rsidRDefault="00E14801" w:rsidP="001A0CB9">
      <w:pPr>
        <w:numPr>
          <w:ilvl w:val="0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דיון ב</w:t>
      </w:r>
      <w:r w:rsidR="00EB10F5" w:rsidRPr="006303F1">
        <w:rPr>
          <w:rFonts w:cs="David" w:hint="cs"/>
          <w:rtl/>
        </w:rPr>
        <w:t>תקנות החדשות</w:t>
      </w:r>
      <w:r w:rsidR="00281CAF">
        <w:rPr>
          <w:rFonts w:cs="David" w:hint="cs"/>
          <w:rtl/>
        </w:rPr>
        <w:t xml:space="preserve"> (</w:t>
      </w:r>
      <w:r w:rsidR="006906D4">
        <w:rPr>
          <w:rFonts w:cs="David" w:hint="cs"/>
          <w:rtl/>
        </w:rPr>
        <w:t>13%</w:t>
      </w:r>
      <w:r w:rsidR="00281CAF">
        <w:rPr>
          <w:rFonts w:cs="David" w:hint="cs"/>
          <w:rtl/>
        </w:rPr>
        <w:t>)</w:t>
      </w:r>
    </w:p>
    <w:p w:rsidR="00281CAF" w:rsidRDefault="00E14801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האם לשר סמכות להתקין?</w:t>
      </w:r>
    </w:p>
    <w:p w:rsidR="00281CAF" w:rsidRDefault="00E14801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האם זמן הפעולה (</w:t>
      </w:r>
      <w:r w:rsidR="00EB10F5" w:rsidRPr="00281CAF">
        <w:rPr>
          <w:rFonts w:cs="David" w:hint="cs"/>
          <w:rtl/>
        </w:rPr>
        <w:t>חודש</w:t>
      </w:r>
      <w:r>
        <w:rPr>
          <w:rFonts w:cs="David" w:hint="cs"/>
          <w:rtl/>
        </w:rPr>
        <w:t xml:space="preserve">) מלמד על הליך תקין? האם זהו </w:t>
      </w:r>
      <w:r w:rsidR="00EB10F5" w:rsidRPr="00281CAF">
        <w:rPr>
          <w:rFonts w:cs="David" w:hint="cs"/>
          <w:rtl/>
        </w:rPr>
        <w:t xml:space="preserve">זמן </w:t>
      </w:r>
      <w:r>
        <w:rPr>
          <w:rFonts w:cs="David" w:hint="cs"/>
          <w:rtl/>
        </w:rPr>
        <w:t>סביר/ראוי?</w:t>
      </w:r>
    </w:p>
    <w:p w:rsidR="00281CAF" w:rsidRPr="00281CAF" w:rsidRDefault="00EB10F5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  <w:rtl/>
        </w:rPr>
      </w:pPr>
      <w:r w:rsidRPr="00281CAF">
        <w:rPr>
          <w:rFonts w:cs="David" w:hint="cs"/>
          <w:rtl/>
        </w:rPr>
        <w:t xml:space="preserve">הפרטה בתחבורה הציבורית - האם </w:t>
      </w:r>
      <w:r w:rsidR="001B2C87">
        <w:rPr>
          <w:rFonts w:cs="David" w:hint="cs"/>
          <w:rtl/>
        </w:rPr>
        <w:t xml:space="preserve">התקנות מאצילות </w:t>
      </w:r>
      <w:r w:rsidRPr="00281CAF">
        <w:rPr>
          <w:rFonts w:cs="David" w:hint="cs"/>
          <w:rtl/>
        </w:rPr>
        <w:t xml:space="preserve">סמכות לגורם פרטי או </w:t>
      </w:r>
      <w:r w:rsidR="001B2C87">
        <w:rPr>
          <w:rFonts w:cs="David" w:hint="cs"/>
          <w:rtl/>
        </w:rPr>
        <w:t>שמדובר ב</w:t>
      </w:r>
      <w:r w:rsidRPr="00281CAF">
        <w:rPr>
          <w:rFonts w:cs="David" w:hint="cs"/>
          <w:rtl/>
        </w:rPr>
        <w:t>הסתייעות</w:t>
      </w:r>
      <w:r w:rsidR="001B2C87">
        <w:rPr>
          <w:rFonts w:cs="David" w:hint="cs"/>
          <w:rtl/>
        </w:rPr>
        <w:t xml:space="preserve"> טכנית</w:t>
      </w:r>
      <w:r w:rsidRPr="00281CAF">
        <w:rPr>
          <w:rFonts w:cs="David" w:hint="cs"/>
          <w:rtl/>
        </w:rPr>
        <w:t>?</w:t>
      </w:r>
      <w:r w:rsidR="001B2C87">
        <w:rPr>
          <w:rFonts w:cs="David" w:hint="cs"/>
          <w:rtl/>
        </w:rPr>
        <w:t xml:space="preserve"> דיון לפי פיליפוביץ ועיר עמים. (בשוליים: </w:t>
      </w:r>
      <w:r w:rsidRPr="00281CAF">
        <w:rPr>
          <w:rFonts w:cs="David" w:hint="cs"/>
          <w:rtl/>
        </w:rPr>
        <w:t>אמנם התקנות הן מכוח חוק ספציפי, ולא מתבססות על ההסדר בחוק יסוד</w:t>
      </w:r>
      <w:r w:rsidR="00281CAF" w:rsidRPr="00281CAF">
        <w:rPr>
          <w:rFonts w:cs="David" w:hint="cs"/>
          <w:rtl/>
        </w:rPr>
        <w:t xml:space="preserve">:הממשלה </w:t>
      </w:r>
      <w:r w:rsidRPr="00281CAF">
        <w:rPr>
          <w:rFonts w:cs="David" w:hint="cs"/>
          <w:rtl/>
        </w:rPr>
        <w:t>לגבי אצילת סמכויות של שר, אך השאלה מתעוררת בכל זאת</w:t>
      </w:r>
      <w:r w:rsidR="001B2C87">
        <w:rPr>
          <w:rFonts w:cs="David" w:hint="cs"/>
          <w:rtl/>
        </w:rPr>
        <w:t>)</w:t>
      </w:r>
      <w:r w:rsidRPr="00281CAF">
        <w:rPr>
          <w:rFonts w:cs="David" w:hint="cs"/>
          <w:rtl/>
        </w:rPr>
        <w:t>.</w:t>
      </w:r>
    </w:p>
    <w:p w:rsidR="00281CAF" w:rsidRPr="001B2C87" w:rsidRDefault="001B2C87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דיון ב</w:t>
      </w:r>
      <w:r w:rsidR="00281CAF">
        <w:rPr>
          <w:rFonts w:cs="David" w:hint="cs"/>
          <w:rtl/>
        </w:rPr>
        <w:t xml:space="preserve">אגרה- </w:t>
      </w:r>
      <w:r w:rsidR="00EB10F5" w:rsidRPr="001B2C87">
        <w:rPr>
          <w:rFonts w:cs="David" w:hint="cs"/>
          <w:rtl/>
        </w:rPr>
        <w:t xml:space="preserve">האם </w:t>
      </w:r>
      <w:r>
        <w:rPr>
          <w:rFonts w:cs="David" w:hint="cs"/>
          <w:rtl/>
        </w:rPr>
        <w:t xml:space="preserve">מכוח סמכות? (האם האגרה היא "חיוב" מכוח החוק?) </w:t>
      </w:r>
      <w:r w:rsidR="00281CAF" w:rsidRPr="001B2C87">
        <w:rPr>
          <w:rFonts w:cs="David" w:hint="cs"/>
          <w:rtl/>
        </w:rPr>
        <w:t>האם הכספים עוברים לאוצר המדינה כפי שמוסמכת הרשות לגבות עפ"י החוק?</w:t>
      </w:r>
      <w:r>
        <w:rPr>
          <w:rFonts w:cs="David" w:hint="cs"/>
          <w:rtl/>
        </w:rPr>
        <w:t xml:space="preserve"> </w:t>
      </w:r>
      <w:r w:rsidR="00281CAF" w:rsidRPr="001B2C87">
        <w:rPr>
          <w:rFonts w:cs="David" w:hint="cs"/>
          <w:rtl/>
        </w:rPr>
        <w:t>האם הסנקציה מידתית?</w:t>
      </w:r>
    </w:p>
    <w:p w:rsidR="006906D4" w:rsidRPr="006906D4" w:rsidRDefault="001B2C87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האם התקנות פורסמו כנדרש? </w:t>
      </w:r>
    </w:p>
    <w:p w:rsidR="00281CAF" w:rsidRDefault="004C01C4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היחס בין החוק לתקנות- </w:t>
      </w:r>
      <w:r w:rsidR="00EB10F5" w:rsidRPr="00281CAF">
        <w:rPr>
          <w:rFonts w:cs="David" w:hint="cs"/>
          <w:rtl/>
        </w:rPr>
        <w:t xml:space="preserve">האם </w:t>
      </w:r>
      <w:r w:rsidR="001B2C87">
        <w:rPr>
          <w:rFonts w:cs="David" w:hint="cs"/>
          <w:rtl/>
        </w:rPr>
        <w:t xml:space="preserve">התקנות </w:t>
      </w:r>
      <w:r w:rsidR="00EB10F5" w:rsidRPr="00281CAF">
        <w:rPr>
          <w:rFonts w:cs="David" w:hint="cs"/>
          <w:rtl/>
        </w:rPr>
        <w:t>כ</w:t>
      </w:r>
      <w:r w:rsidR="001B2C87">
        <w:rPr>
          <w:rFonts w:cs="David" w:hint="cs"/>
          <w:rtl/>
        </w:rPr>
        <w:t>ו</w:t>
      </w:r>
      <w:r w:rsidR="00EB10F5" w:rsidRPr="00281CAF">
        <w:rPr>
          <w:rFonts w:cs="David" w:hint="cs"/>
          <w:rtl/>
        </w:rPr>
        <w:t>לל</w:t>
      </w:r>
      <w:r w:rsidR="001B2C87">
        <w:rPr>
          <w:rFonts w:cs="David" w:hint="cs"/>
          <w:rtl/>
        </w:rPr>
        <w:t>ות</w:t>
      </w:r>
      <w:r w:rsidR="00EB10F5" w:rsidRPr="00281CAF">
        <w:rPr>
          <w:rFonts w:cs="David" w:hint="cs"/>
          <w:rtl/>
        </w:rPr>
        <w:t xml:space="preserve"> הסדרים ראשוניים</w:t>
      </w:r>
      <w:r w:rsidR="001B2C87">
        <w:rPr>
          <w:rFonts w:cs="David" w:hint="cs"/>
          <w:rtl/>
        </w:rPr>
        <w:t>?</w:t>
      </w:r>
    </w:p>
    <w:p w:rsidR="00281CAF" w:rsidRDefault="00281CAF" w:rsidP="001A0CB9">
      <w:pPr>
        <w:numPr>
          <w:ilvl w:val="0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ההתקשרות</w:t>
      </w:r>
      <w:r w:rsidRPr="00281CAF">
        <w:rPr>
          <w:rFonts w:cs="David"/>
          <w:rtl/>
        </w:rPr>
        <w:t xml:space="preserve"> עם חברת דרייב בע"מ</w:t>
      </w:r>
      <w:r w:rsidR="006906D4">
        <w:rPr>
          <w:rFonts w:cs="David" w:hint="cs"/>
          <w:rtl/>
        </w:rPr>
        <w:t xml:space="preserve"> (7%)</w:t>
      </w:r>
    </w:p>
    <w:p w:rsidR="00281CAF" w:rsidRDefault="00281CAF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הפעלת התקנות לאלתר</w:t>
      </w:r>
      <w:r w:rsidR="001B2C87">
        <w:rPr>
          <w:rFonts w:cs="David" w:hint="cs"/>
          <w:rtl/>
        </w:rPr>
        <w:t xml:space="preserve">- האם חל </w:t>
      </w:r>
      <w:r w:rsidR="00C459FE" w:rsidRPr="001B2C87">
        <w:rPr>
          <w:rFonts w:cs="David" w:hint="cs"/>
          <w:rtl/>
        </w:rPr>
        <w:t>פטור ממכרז בשל התקשרות דחופה (סעיף 3(2) לתקנות?</w:t>
      </w:r>
    </w:p>
    <w:p w:rsidR="00281CAF" w:rsidRPr="00281CAF" w:rsidRDefault="001B2C87" w:rsidP="001A0CB9">
      <w:pPr>
        <w:numPr>
          <w:ilvl w:val="1"/>
          <w:numId w:val="1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האם העירייה צריכה להתחשב בשיקול "הבטחוני" של עמי? האם לא מדובר בשיקול גזעני/מפלה/חסר בסיס באצטלה של שיקול לגיטימי?</w:t>
      </w:r>
    </w:p>
    <w:p w:rsidR="001B2C87" w:rsidRDefault="001B2C87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</w:p>
    <w:p w:rsidR="00EB10F5" w:rsidRDefault="00EB10F5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שאלה 2 (</w:t>
      </w:r>
      <w:r w:rsidR="006906D4">
        <w:rPr>
          <w:rFonts w:cs="David" w:hint="cs"/>
          <w:b/>
          <w:bCs/>
          <w:u w:val="single"/>
          <w:rtl/>
        </w:rPr>
        <w:t>30</w:t>
      </w:r>
      <w:r>
        <w:rPr>
          <w:rFonts w:cs="David" w:hint="cs"/>
          <w:b/>
          <w:bCs/>
          <w:u w:val="single"/>
          <w:rtl/>
        </w:rPr>
        <w:t>%)</w:t>
      </w:r>
    </w:p>
    <w:p w:rsidR="001A0CB9" w:rsidRPr="00F966AD" w:rsidRDefault="001A0CB9" w:rsidP="001A0CB9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</w:p>
    <w:p w:rsidR="004C01C4" w:rsidRDefault="00EB10F5" w:rsidP="001A0CB9">
      <w:pPr>
        <w:numPr>
          <w:ilvl w:val="0"/>
          <w:numId w:val="2"/>
        </w:numPr>
        <w:spacing w:after="0" w:line="240" w:lineRule="auto"/>
        <w:jc w:val="both"/>
        <w:rPr>
          <w:rFonts w:cs="David"/>
        </w:rPr>
      </w:pPr>
      <w:r w:rsidRPr="006303F1">
        <w:rPr>
          <w:rFonts w:cs="David" w:hint="cs"/>
          <w:rtl/>
        </w:rPr>
        <w:t>ההזמנה להציע הצעות</w:t>
      </w:r>
      <w:r>
        <w:rPr>
          <w:rFonts w:cs="David" w:hint="cs"/>
          <w:rtl/>
        </w:rPr>
        <w:t xml:space="preserve"> </w:t>
      </w:r>
      <w:r w:rsidRPr="006303F1">
        <w:rPr>
          <w:rFonts w:cs="David"/>
          <w:rtl/>
        </w:rPr>
        <w:t>–</w:t>
      </w:r>
      <w:r w:rsidR="004C01C4">
        <w:rPr>
          <w:rFonts w:cs="David" w:hint="cs"/>
          <w:rtl/>
        </w:rPr>
        <w:t xml:space="preserve"> בחינה לאור תקנות המכרזים</w:t>
      </w:r>
      <w:r w:rsidR="00755C24">
        <w:rPr>
          <w:rFonts w:cs="David" w:hint="cs"/>
          <w:rtl/>
        </w:rPr>
        <w:t xml:space="preserve"> (22%)</w:t>
      </w:r>
    </w:p>
    <w:p w:rsidR="004C01C4" w:rsidRDefault="001B2C87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האם מומשה </w:t>
      </w:r>
      <w:r w:rsidR="004C01C4" w:rsidRPr="004C01C4">
        <w:rPr>
          <w:rFonts w:cs="David" w:hint="cs"/>
          <w:rtl/>
        </w:rPr>
        <w:t xml:space="preserve">חובת </w:t>
      </w:r>
      <w:r>
        <w:rPr>
          <w:rFonts w:cs="David" w:hint="cs"/>
          <w:rtl/>
        </w:rPr>
        <w:t>ה</w:t>
      </w:r>
      <w:r w:rsidR="004C01C4" w:rsidRPr="004C01C4">
        <w:rPr>
          <w:rFonts w:cs="David" w:hint="cs"/>
          <w:rtl/>
        </w:rPr>
        <w:t>פרסום</w:t>
      </w:r>
      <w:r w:rsidR="00EB10F5" w:rsidRPr="004C01C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לפי תקנות 15(א) ו-15(ג)?</w:t>
      </w:r>
    </w:p>
    <w:p w:rsidR="004C01C4" w:rsidRDefault="001B2C87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דיון ב</w:t>
      </w:r>
      <w:r w:rsidR="00EB10F5" w:rsidRPr="004C01C4">
        <w:rPr>
          <w:rFonts w:cs="David" w:hint="cs"/>
          <w:rtl/>
        </w:rPr>
        <w:t xml:space="preserve">תנאי הסף (גברים, יהודים, שומרי </w:t>
      </w:r>
      <w:r>
        <w:rPr>
          <w:rFonts w:cs="David" w:hint="cs"/>
          <w:rtl/>
        </w:rPr>
        <w:t>מסורת)- האם לגיטימיים או שמדובר בתנאים מפלים ולכן בלתי-חוקיים? מה ההשלכות של פסלות התנאים על הצעת עבדאללה? האם דינה להיפסל?</w:t>
      </w:r>
    </w:p>
    <w:p w:rsidR="004C01C4" w:rsidRDefault="00EB10F5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 w:rsidRPr="006303F1">
        <w:rPr>
          <w:rFonts w:cs="David" w:hint="cs"/>
          <w:rtl/>
        </w:rPr>
        <w:t>הניסיו</w:t>
      </w:r>
      <w:r w:rsidR="004C01C4">
        <w:rPr>
          <w:rFonts w:cs="David" w:hint="cs"/>
          <w:rtl/>
        </w:rPr>
        <w:t>ן</w:t>
      </w:r>
      <w:r>
        <w:rPr>
          <w:rFonts w:cs="David" w:hint="cs"/>
          <w:rtl/>
        </w:rPr>
        <w:t xml:space="preserve"> וההמלצות</w:t>
      </w:r>
      <w:r w:rsidR="001B2C87">
        <w:rPr>
          <w:rFonts w:cs="David" w:hint="cs"/>
          <w:rtl/>
        </w:rPr>
        <w:t xml:space="preserve">- </w:t>
      </w:r>
      <w:r w:rsidRPr="006303F1">
        <w:rPr>
          <w:rFonts w:cs="David" w:hint="cs"/>
          <w:rtl/>
        </w:rPr>
        <w:t>האם "סוגר</w:t>
      </w:r>
      <w:r w:rsidR="001B2C87">
        <w:rPr>
          <w:rFonts w:cs="David" w:hint="cs"/>
          <w:rtl/>
        </w:rPr>
        <w:t>ים</w:t>
      </w:r>
      <w:r w:rsidRPr="006303F1">
        <w:rPr>
          <w:rFonts w:cs="David" w:hint="cs"/>
          <w:rtl/>
        </w:rPr>
        <w:t>" את המכרז או לגיטימי</w:t>
      </w:r>
      <w:r w:rsidR="001B2C87">
        <w:rPr>
          <w:rFonts w:cs="David" w:hint="cs"/>
          <w:rtl/>
        </w:rPr>
        <w:t>ים</w:t>
      </w:r>
      <w:r w:rsidRPr="006303F1">
        <w:rPr>
          <w:rFonts w:cs="David" w:hint="cs"/>
          <w:rtl/>
        </w:rPr>
        <w:t>?</w:t>
      </w:r>
    </w:p>
    <w:p w:rsidR="004C01C4" w:rsidRPr="00755C24" w:rsidRDefault="00EB10F5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 w:rsidRPr="004C01C4">
        <w:rPr>
          <w:rFonts w:cs="David" w:hint="cs"/>
          <w:rtl/>
        </w:rPr>
        <w:t xml:space="preserve">הצעת </w:t>
      </w:r>
      <w:r w:rsidR="004C01C4">
        <w:rPr>
          <w:rFonts w:cs="David" w:hint="cs"/>
          <w:rtl/>
        </w:rPr>
        <w:t>"</w:t>
      </w:r>
      <w:r w:rsidRPr="004C01C4">
        <w:rPr>
          <w:rFonts w:cs="David" w:hint="cs"/>
          <w:rtl/>
        </w:rPr>
        <w:t>סע לשלום</w:t>
      </w:r>
      <w:r w:rsidR="001B2C87">
        <w:rPr>
          <w:rFonts w:cs="David" w:hint="cs"/>
          <w:rtl/>
        </w:rPr>
        <w:t>"- האם עולה חשש ל</w:t>
      </w:r>
      <w:r w:rsidRPr="00755C24">
        <w:rPr>
          <w:rFonts w:cs="David" w:hint="cs"/>
          <w:rtl/>
        </w:rPr>
        <w:t>משוא פנים כלפי עובד לשעבר</w:t>
      </w:r>
      <w:r w:rsidR="001B2C87">
        <w:rPr>
          <w:rFonts w:cs="David" w:hint="cs"/>
          <w:rtl/>
        </w:rPr>
        <w:t>?</w:t>
      </w:r>
      <w:r w:rsidRPr="00755C24">
        <w:rPr>
          <w:rFonts w:cs="David" w:hint="cs"/>
          <w:rtl/>
        </w:rPr>
        <w:t xml:space="preserve"> </w:t>
      </w:r>
      <w:r w:rsidR="001B2C87">
        <w:rPr>
          <w:rFonts w:cs="David" w:hint="cs"/>
          <w:rtl/>
        </w:rPr>
        <w:t xml:space="preserve">האם הופעל </w:t>
      </w:r>
      <w:r w:rsidR="00755C24">
        <w:rPr>
          <w:rFonts w:cs="David" w:hint="cs"/>
          <w:rtl/>
        </w:rPr>
        <w:t>שיקול זר (</w:t>
      </w:r>
      <w:r w:rsidRPr="00755C24">
        <w:rPr>
          <w:rFonts w:cs="David" w:hint="cs"/>
          <w:rtl/>
        </w:rPr>
        <w:t xml:space="preserve">הצעתו </w:t>
      </w:r>
      <w:r w:rsidR="004C01C4" w:rsidRPr="00755C24">
        <w:rPr>
          <w:rFonts w:cs="David" w:hint="cs"/>
          <w:rtl/>
        </w:rPr>
        <w:t>פחות אטרקטיבית ובכל זאת נבחרה</w:t>
      </w:r>
      <w:r w:rsidR="00755C24">
        <w:rPr>
          <w:rFonts w:cs="David" w:hint="cs"/>
          <w:rtl/>
        </w:rPr>
        <w:t>)</w:t>
      </w:r>
      <w:r w:rsidR="001B2C87">
        <w:rPr>
          <w:rFonts w:cs="David" w:hint="cs"/>
          <w:rtl/>
        </w:rPr>
        <w:t>?</w:t>
      </w:r>
    </w:p>
    <w:p w:rsidR="00755C24" w:rsidRPr="001B2C87" w:rsidRDefault="004C01C4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 w:rsidRPr="004C01C4">
        <w:rPr>
          <w:rFonts w:cs="David" w:hint="cs"/>
          <w:rtl/>
        </w:rPr>
        <w:t>הצעת "</w:t>
      </w:r>
      <w:r w:rsidR="00EB10F5" w:rsidRPr="004C01C4">
        <w:rPr>
          <w:rFonts w:cs="David" w:hint="cs"/>
          <w:rtl/>
        </w:rPr>
        <w:t>דרייב</w:t>
      </w:r>
      <w:r w:rsidRPr="004C01C4">
        <w:rPr>
          <w:rFonts w:cs="David" w:hint="cs"/>
          <w:rtl/>
        </w:rPr>
        <w:t>"</w:t>
      </w:r>
      <w:r w:rsidR="001B2C87">
        <w:rPr>
          <w:rFonts w:cs="David" w:hint="cs"/>
          <w:rtl/>
        </w:rPr>
        <w:t xml:space="preserve">- האם דינה להיפסל מקום שלא </w:t>
      </w:r>
      <w:r w:rsidRPr="001B2C87">
        <w:rPr>
          <w:rFonts w:cs="David" w:hint="cs"/>
          <w:rtl/>
        </w:rPr>
        <w:t>מקיימ</w:t>
      </w:r>
      <w:r w:rsidR="001B2C87">
        <w:rPr>
          <w:rFonts w:cs="David" w:hint="cs"/>
          <w:rtl/>
        </w:rPr>
        <w:t>ת את תנאי הסף של גברים יהודים שומרי מסורת?</w:t>
      </w:r>
      <w:r w:rsidR="00EB10F5" w:rsidRPr="001B2C87">
        <w:rPr>
          <w:rFonts w:cs="David" w:hint="cs"/>
          <w:rtl/>
        </w:rPr>
        <w:t xml:space="preserve"> </w:t>
      </w:r>
      <w:r w:rsidR="00755C24" w:rsidRPr="001B2C87">
        <w:rPr>
          <w:rFonts w:cs="David" w:hint="cs"/>
          <w:rtl/>
        </w:rPr>
        <w:t xml:space="preserve">אילו הצעה זו היתה נפסלת היתה נשארת הצעה יחידה </w:t>
      </w:r>
      <w:r w:rsidR="00755C24" w:rsidRPr="001B2C87">
        <w:rPr>
          <w:rFonts w:cs="David"/>
          <w:rtl/>
        </w:rPr>
        <w:t>–</w:t>
      </w:r>
      <w:r w:rsidR="00755C24" w:rsidRPr="001B2C87">
        <w:rPr>
          <w:rFonts w:cs="David" w:hint="cs"/>
          <w:rtl/>
        </w:rPr>
        <w:t xml:space="preserve"> דיון.</w:t>
      </w:r>
    </w:p>
    <w:p w:rsidR="00755C24" w:rsidRDefault="004C01C4" w:rsidP="001A0CB9">
      <w:pPr>
        <w:numPr>
          <w:ilvl w:val="1"/>
          <w:numId w:val="2"/>
        </w:numPr>
        <w:spacing w:after="0" w:line="240" w:lineRule="auto"/>
        <w:jc w:val="both"/>
        <w:rPr>
          <w:rFonts w:cs="David"/>
        </w:rPr>
      </w:pPr>
      <w:r w:rsidRPr="00755C24">
        <w:rPr>
          <w:rFonts w:cs="David" w:hint="cs"/>
          <w:rtl/>
        </w:rPr>
        <w:t>בחירת ההצעה הזוכה</w:t>
      </w:r>
      <w:r w:rsidR="001B2C87">
        <w:rPr>
          <w:rFonts w:cs="David" w:hint="cs"/>
          <w:rtl/>
        </w:rPr>
        <w:t>-</w:t>
      </w:r>
    </w:p>
    <w:p w:rsidR="00EB10F5" w:rsidRDefault="00EB10F5" w:rsidP="001A0CB9">
      <w:pPr>
        <w:numPr>
          <w:ilvl w:val="2"/>
          <w:numId w:val="2"/>
        </w:numPr>
        <w:spacing w:after="0" w:line="240" w:lineRule="auto"/>
        <w:jc w:val="both"/>
        <w:rPr>
          <w:rFonts w:cs="David"/>
        </w:rPr>
      </w:pPr>
      <w:r w:rsidRPr="00755C24">
        <w:rPr>
          <w:rFonts w:cs="David" w:hint="cs"/>
          <w:rtl/>
        </w:rPr>
        <w:t>נקודת המוצא לדיון: ההצעה הזולה ביותר והפרמטרים לזכייה כפי שהוגדרו במכרז.</w:t>
      </w:r>
    </w:p>
    <w:p w:rsidR="00755C24" w:rsidRDefault="001B2C87" w:rsidP="001A0CB9">
      <w:pPr>
        <w:numPr>
          <w:ilvl w:val="2"/>
          <w:numId w:val="2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מיקום המשרדים בהוד השרון- האם התחשבות בתנאי נסתר? העדפת מיקום על פני מחיר?</w:t>
      </w:r>
    </w:p>
    <w:p w:rsidR="00755C24" w:rsidRDefault="00755C24" w:rsidP="001A0CB9">
      <w:pPr>
        <w:numPr>
          <w:ilvl w:val="2"/>
          <w:numId w:val="2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חוסר שביעות הציבור מדרייב</w:t>
      </w:r>
      <w:r w:rsidR="001B2C87">
        <w:rPr>
          <w:rFonts w:cs="David" w:hint="cs"/>
          <w:rtl/>
        </w:rPr>
        <w:t>- האם זהו תנאי נסתר?</w:t>
      </w:r>
    </w:p>
    <w:p w:rsidR="00EB10F5" w:rsidRPr="001B2C87" w:rsidRDefault="001B2C87" w:rsidP="001A0CB9">
      <w:pPr>
        <w:numPr>
          <w:ilvl w:val="0"/>
          <w:numId w:val="2"/>
        </w:numPr>
        <w:spacing w:after="0" w:line="240" w:lineRule="auto"/>
        <w:jc w:val="both"/>
        <w:rPr>
          <w:rFonts w:cs="David"/>
        </w:rPr>
      </w:pPr>
      <w:r>
        <w:rPr>
          <w:rFonts w:cs="David" w:hint="cs"/>
          <w:rtl/>
        </w:rPr>
        <w:t>תביעתו של עבדאללה (8%)- דיון לפי פס"ד קסם מילניום. האם עבדאללה השתהה? מה הנפקות של שיהוי זה (מעשה עשוי)? איזה סעד ניתן לקבל (</w:t>
      </w:r>
      <w:r w:rsidR="00755C24" w:rsidRPr="001B2C87">
        <w:rPr>
          <w:rFonts w:cs="David" w:hint="cs"/>
          <w:rtl/>
        </w:rPr>
        <w:t>ציווי מול פ</w:t>
      </w:r>
      <w:r>
        <w:rPr>
          <w:rFonts w:cs="David" w:hint="cs"/>
          <w:rtl/>
        </w:rPr>
        <w:t>יצוי; פיצויי קיום לעומת הסתמכות)?</w:t>
      </w:r>
    </w:p>
    <w:p w:rsidR="006D765A" w:rsidRDefault="006D765A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</w:p>
    <w:p w:rsidR="00EB10F5" w:rsidRDefault="00EB10F5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  <w:r w:rsidRPr="00FC45CA">
        <w:rPr>
          <w:rFonts w:ascii="David" w:hAnsi="David" w:cs="David" w:hint="cs"/>
          <w:b/>
          <w:bCs/>
          <w:u w:val="single"/>
          <w:rtl/>
        </w:rPr>
        <w:t>חלק שני</w:t>
      </w:r>
      <w:r w:rsidR="006D765A">
        <w:rPr>
          <w:rFonts w:ascii="David" w:hAnsi="David" w:cs="David" w:hint="cs"/>
          <w:b/>
          <w:bCs/>
          <w:u w:val="single"/>
          <w:rtl/>
        </w:rPr>
        <w:t xml:space="preserve"> (15%)</w:t>
      </w:r>
    </w:p>
    <w:p w:rsidR="001A0CB9" w:rsidRPr="00FC45CA" w:rsidRDefault="001A0CB9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</w:p>
    <w:p w:rsidR="00F067DF" w:rsidRDefault="00F067DF" w:rsidP="001A0CB9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>
        <w:rPr>
          <w:rFonts w:cs="David" w:hint="cs"/>
          <w:rtl/>
        </w:rPr>
        <w:t xml:space="preserve">הסבירות </w:t>
      </w:r>
      <w:r w:rsidR="00CB36D7">
        <w:rPr>
          <w:rFonts w:cs="David" w:hint="cs"/>
          <w:rtl/>
        </w:rPr>
        <w:t>העוסקת באיזון בין שיקולים שראוי לשקול כוללת</w:t>
      </w:r>
      <w:r>
        <w:rPr>
          <w:rFonts w:cs="David" w:hint="cs"/>
          <w:rtl/>
        </w:rPr>
        <w:t xml:space="preserve"> שק"ד רחב </w:t>
      </w:r>
      <w:r w:rsidR="00CB36D7">
        <w:rPr>
          <w:rFonts w:cs="David" w:hint="cs"/>
          <w:rtl/>
        </w:rPr>
        <w:t xml:space="preserve">שנותר </w:t>
      </w:r>
      <w:r>
        <w:rPr>
          <w:rFonts w:cs="David" w:hint="cs"/>
          <w:rtl/>
        </w:rPr>
        <w:t>לביהמ"ש</w:t>
      </w:r>
      <w:r w:rsidR="009E591D">
        <w:rPr>
          <w:rFonts w:cs="David" w:hint="cs"/>
          <w:rtl/>
        </w:rPr>
        <w:t xml:space="preserve"> (</w:t>
      </w:r>
      <w:r w:rsidR="00C459FE" w:rsidRPr="009E591D">
        <w:rPr>
          <w:rFonts w:cs="David" w:hint="cs"/>
          <w:rtl/>
        </w:rPr>
        <w:t>ה</w:t>
      </w:r>
      <w:r w:rsidR="00CB36D7">
        <w:rPr>
          <w:rFonts w:cs="David" w:hint="cs"/>
          <w:rtl/>
        </w:rPr>
        <w:t>ו</w:t>
      </w:r>
      <w:r w:rsidR="00C459FE" w:rsidRPr="009E591D">
        <w:rPr>
          <w:rFonts w:cs="David" w:hint="cs"/>
          <w:rtl/>
        </w:rPr>
        <w:t xml:space="preserve">ויכוח בין </w:t>
      </w:r>
      <w:r w:rsidR="00CB36D7">
        <w:rPr>
          <w:rFonts w:cs="David" w:hint="cs"/>
          <w:rtl/>
        </w:rPr>
        <w:t>השופטים בבית המשפט העליון</w:t>
      </w:r>
      <w:r w:rsidR="009E591D">
        <w:rPr>
          <w:rFonts w:cs="David" w:hint="cs"/>
          <w:rtl/>
        </w:rPr>
        <w:t>).</w:t>
      </w:r>
    </w:p>
    <w:p w:rsidR="00C459FE" w:rsidRPr="009E591D" w:rsidRDefault="00CB36D7" w:rsidP="001A0CB9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>
        <w:rPr>
          <w:rFonts w:cs="David" w:hint="cs"/>
          <w:rtl/>
        </w:rPr>
        <w:t xml:space="preserve">דיון עד כמה בשאלות של סמכות והליך נכנס מבחן הסבירות, תוך מתן דוגמאות. כל דוגמא מבוססת התקבלה. למשל </w:t>
      </w:r>
      <w:r w:rsidR="00C459FE" w:rsidRPr="009E591D">
        <w:rPr>
          <w:rFonts w:cs="David" w:hint="cs"/>
          <w:rtl/>
        </w:rPr>
        <w:t>קו הגבול בין הסדרים ראשוניים ומשנים, בענ</w:t>
      </w:r>
      <w:r>
        <w:rPr>
          <w:rFonts w:cs="David" w:hint="cs"/>
          <w:rtl/>
        </w:rPr>
        <w:t>י</w:t>
      </w:r>
      <w:r w:rsidR="00C459FE" w:rsidRPr="009E591D">
        <w:rPr>
          <w:rFonts w:cs="David" w:hint="cs"/>
          <w:rtl/>
        </w:rPr>
        <w:t>ין סמכות עזר, בשאלת התשתית העובדתית ומבחן הראיה המינהלית כך למשל בשאלת מבחן הפגיעה לזכות הטיעון כך למשל בעניין היקף המידע שיש לתת לצורך זכות העיון, כך למשל לעניי</w:t>
      </w:r>
      <w:r>
        <w:rPr>
          <w:rFonts w:cs="David" w:hint="cs"/>
          <w:rtl/>
        </w:rPr>
        <w:t xml:space="preserve">ן קביעת מעגלי קירבה למשוא פנים </w:t>
      </w:r>
    </w:p>
    <w:p w:rsidR="00F067DF" w:rsidRDefault="00CB36D7" w:rsidP="001A0CB9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>
        <w:rPr>
          <w:rFonts w:cs="David" w:hint="cs"/>
          <w:rtl/>
        </w:rPr>
        <w:t>דיון בשאלה של חשיבות קיומם של</w:t>
      </w:r>
      <w:r w:rsidR="00E85290" w:rsidRPr="009E591D">
        <w:rPr>
          <w:rFonts w:cs="David" w:hint="cs"/>
          <w:rtl/>
        </w:rPr>
        <w:t xml:space="preserve"> מבחנים ספציפיים בהליך ובסמכות</w:t>
      </w:r>
      <w:r>
        <w:rPr>
          <w:rFonts w:cs="David" w:hint="cs"/>
          <w:rtl/>
        </w:rPr>
        <w:t xml:space="preserve"> והאם </w:t>
      </w:r>
      <w:r w:rsidR="00E85290" w:rsidRPr="009E591D">
        <w:rPr>
          <w:rFonts w:cs="David" w:hint="cs"/>
          <w:rtl/>
        </w:rPr>
        <w:t>רצוי להחליף אותם בעילת הסבירות</w:t>
      </w:r>
      <w:r>
        <w:rPr>
          <w:rFonts w:cs="David" w:hint="cs"/>
          <w:rtl/>
        </w:rPr>
        <w:t>?</w:t>
      </w:r>
      <w:r w:rsidR="00E85290" w:rsidRPr="009E591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האם</w:t>
      </w:r>
      <w:r w:rsidR="00E85290" w:rsidRPr="009E591D">
        <w:rPr>
          <w:rFonts w:cs="David" w:hint="cs"/>
          <w:rtl/>
        </w:rPr>
        <w:t xml:space="preserve"> כדאי היה לחזור לתתי מבחנים נוקשים וקטיגוריים ולא להמיר הכל בסבירות </w:t>
      </w:r>
      <w:r>
        <w:rPr>
          <w:rFonts w:cs="David" w:hint="cs"/>
          <w:rtl/>
        </w:rPr>
        <w:t>ודיון ביתרונות ובחסרונות של מבחנים קטיגוריים</w:t>
      </w:r>
      <w:r w:rsidR="00E85290" w:rsidRPr="009E591D">
        <w:rPr>
          <w:rFonts w:cs="David" w:hint="cs"/>
          <w:rtl/>
        </w:rPr>
        <w:t xml:space="preserve"> . </w:t>
      </w:r>
    </w:p>
    <w:p w:rsidR="000A7CC1" w:rsidRDefault="000A7CC1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</w:p>
    <w:p w:rsidR="00EB10F5" w:rsidRDefault="006D765A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  <w:r w:rsidRPr="006D765A">
        <w:rPr>
          <w:rFonts w:ascii="David" w:hAnsi="David" w:cs="David" w:hint="cs"/>
          <w:b/>
          <w:bCs/>
          <w:u w:val="single"/>
          <w:rtl/>
        </w:rPr>
        <w:t xml:space="preserve">חלק שלישי </w:t>
      </w:r>
      <w:r w:rsidR="00EB10F5" w:rsidRPr="006D765A">
        <w:rPr>
          <w:rFonts w:ascii="David" w:hAnsi="David" w:cs="David" w:hint="cs"/>
          <w:b/>
          <w:bCs/>
          <w:u w:val="single"/>
          <w:rtl/>
        </w:rPr>
        <w:t>(</w:t>
      </w:r>
      <w:r w:rsidRPr="006D765A">
        <w:rPr>
          <w:rFonts w:ascii="David" w:hAnsi="David" w:cs="David" w:hint="cs"/>
          <w:b/>
          <w:bCs/>
          <w:u w:val="single"/>
          <w:rtl/>
        </w:rPr>
        <w:t>20</w:t>
      </w:r>
      <w:r w:rsidR="00EB10F5" w:rsidRPr="006D765A">
        <w:rPr>
          <w:rFonts w:ascii="David" w:hAnsi="David" w:cs="David" w:hint="cs"/>
          <w:b/>
          <w:bCs/>
          <w:u w:val="single"/>
          <w:rtl/>
        </w:rPr>
        <w:t>%)</w:t>
      </w:r>
    </w:p>
    <w:p w:rsidR="001A0CB9" w:rsidRDefault="001A0CB9" w:rsidP="001A0CB9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</w:p>
    <w:p w:rsidR="006D765A" w:rsidRDefault="006D765A" w:rsidP="001A0CB9">
      <w:pPr>
        <w:spacing w:after="0" w:line="240" w:lineRule="auto"/>
        <w:rPr>
          <w:rFonts w:ascii="David" w:hAnsi="David" w:cs="David"/>
          <w:b/>
          <w:bCs/>
          <w:rtl/>
        </w:rPr>
      </w:pPr>
      <w:r w:rsidRPr="00F067DF">
        <w:rPr>
          <w:rFonts w:ascii="David" w:hAnsi="David" w:cs="David" w:hint="cs"/>
          <w:b/>
          <w:bCs/>
          <w:rtl/>
        </w:rPr>
        <w:t>שאלה 1</w:t>
      </w:r>
      <w:r w:rsidR="008B722C" w:rsidRPr="00F067DF">
        <w:rPr>
          <w:rFonts w:ascii="David" w:hAnsi="David" w:cs="David" w:hint="cs"/>
          <w:b/>
          <w:bCs/>
          <w:rtl/>
        </w:rPr>
        <w:t xml:space="preserve"> (10%)</w:t>
      </w:r>
    </w:p>
    <w:p w:rsidR="001A0CB9" w:rsidRPr="00F067DF" w:rsidRDefault="001A0CB9" w:rsidP="001A0CB9">
      <w:pPr>
        <w:spacing w:after="0" w:line="240" w:lineRule="auto"/>
        <w:rPr>
          <w:rFonts w:ascii="David" w:hAnsi="David" w:cs="David"/>
          <w:b/>
          <w:bCs/>
          <w:rtl/>
        </w:rPr>
      </w:pP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>ההבחנה בין בטלות לבטלות יחסית</w:t>
      </w:r>
      <w:r w:rsidR="003E3393" w:rsidRPr="006438DF">
        <w:rPr>
          <w:rFonts w:ascii="David" w:hAnsi="David" w:cs="David" w:hint="cs"/>
          <w:rtl/>
        </w:rPr>
        <w:t>; היתרונות בבטלות היחסית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 xml:space="preserve">תורת הבטלות היחסית והביקורת כלפיה. 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>ההתפתחות בפסיקה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 xml:space="preserve">המעבר מבטלות לבטלות יחסית בתחומים שונים – החל בפגמים בהליך המנהלי ולבסוף גם בפגמים הנוגעים לסמכות. </w:t>
      </w:r>
    </w:p>
    <w:p w:rsidR="006D765A" w:rsidRPr="00572AC7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  <w:rtl/>
        </w:rPr>
      </w:pPr>
      <w:r w:rsidRPr="006438DF">
        <w:rPr>
          <w:rFonts w:ascii="David" w:hAnsi="David" w:cs="David" w:hint="cs"/>
          <w:rtl/>
        </w:rPr>
        <w:t>הקשיים – פגיעה בעקרון חוקיות המינהל במקרים של חריגה מסמכות (הביקורת)</w:t>
      </w:r>
      <w:r w:rsidR="00572AC7">
        <w:rPr>
          <w:rFonts w:ascii="David" w:hAnsi="David" w:cs="David" w:hint="cs"/>
          <w:rtl/>
        </w:rPr>
        <w:t xml:space="preserve">; </w:t>
      </w:r>
      <w:r w:rsidRPr="00572AC7">
        <w:rPr>
          <w:rFonts w:ascii="David" w:hAnsi="David" w:cs="David" w:hint="cs"/>
          <w:rtl/>
        </w:rPr>
        <w:t>פגיעה בזכויות הליכיות; חוסר וודאות.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  <w:rtl/>
        </w:rPr>
      </w:pPr>
      <w:r w:rsidRPr="006438DF">
        <w:rPr>
          <w:rFonts w:ascii="David" w:hAnsi="David" w:cs="David" w:hint="cs"/>
          <w:rtl/>
        </w:rPr>
        <w:t xml:space="preserve">הפתרון – שימוש זהיר בתורה זו כחריג ולא ככלל. 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  <w:rtl/>
        </w:rPr>
      </w:pPr>
      <w:r w:rsidRPr="006438DF">
        <w:rPr>
          <w:rFonts w:ascii="David" w:hAnsi="David" w:cs="David" w:hint="cs"/>
          <w:rtl/>
        </w:rPr>
        <w:t>הרחב</w:t>
      </w:r>
      <w:r w:rsidR="00CB36D7">
        <w:rPr>
          <w:rFonts w:ascii="David" w:hAnsi="David" w:cs="David" w:hint="cs"/>
          <w:rtl/>
        </w:rPr>
        <w:t xml:space="preserve">ה: הבחנה בין שימושים שונים </w:t>
      </w:r>
      <w:r w:rsidRPr="006438DF">
        <w:rPr>
          <w:rFonts w:ascii="David" w:hAnsi="David" w:cs="David" w:hint="cs"/>
          <w:rtl/>
        </w:rPr>
        <w:t xml:space="preserve">בבטלות יחסית </w:t>
      </w:r>
      <w:r w:rsidR="00CB36D7">
        <w:rPr>
          <w:rFonts w:ascii="David" w:hAnsi="David" w:cs="David" w:hint="cs"/>
          <w:rtl/>
        </w:rPr>
        <w:t xml:space="preserve">(כגון בהבדל בין </w:t>
      </w:r>
      <w:r w:rsidRPr="006438DF">
        <w:rPr>
          <w:rFonts w:ascii="David" w:hAnsi="David" w:cs="David" w:hint="cs"/>
          <w:rtl/>
        </w:rPr>
        <w:t>השעיית תוקף ההחלטה לבין שימוש ב</w:t>
      </w:r>
      <w:r w:rsidR="00CB36D7">
        <w:rPr>
          <w:rFonts w:ascii="David" w:hAnsi="David" w:cs="David" w:hint="cs"/>
          <w:rtl/>
        </w:rPr>
        <w:t xml:space="preserve">בטלות היחסית </w:t>
      </w:r>
      <w:r w:rsidRPr="006438DF">
        <w:rPr>
          <w:rFonts w:ascii="David" w:hAnsi="David" w:cs="David" w:hint="cs"/>
          <w:rtl/>
        </w:rPr>
        <w:t>לצורך מתן תוקף קבוע להחלטה</w:t>
      </w:r>
      <w:r w:rsidR="00CB36D7">
        <w:rPr>
          <w:rFonts w:ascii="David" w:hAnsi="David" w:cs="David" w:hint="cs"/>
          <w:rtl/>
        </w:rPr>
        <w:t>)</w:t>
      </w:r>
      <w:r w:rsidRPr="006438DF">
        <w:rPr>
          <w:rFonts w:ascii="David" w:hAnsi="David" w:cs="David" w:hint="cs"/>
          <w:rtl/>
        </w:rPr>
        <w:t>.</w:t>
      </w:r>
    </w:p>
    <w:p w:rsidR="006D765A" w:rsidRPr="006438DF" w:rsidRDefault="006D765A" w:rsidP="001A0CB9">
      <w:pPr>
        <w:pStyle w:val="ListParagraph"/>
        <w:spacing w:after="0" w:line="240" w:lineRule="auto"/>
        <w:ind w:left="360"/>
        <w:rPr>
          <w:rFonts w:ascii="David" w:hAnsi="David" w:cs="David"/>
          <w:rtl/>
        </w:rPr>
      </w:pPr>
    </w:p>
    <w:p w:rsidR="006D765A" w:rsidRPr="00F067DF" w:rsidRDefault="006D765A" w:rsidP="001A0CB9">
      <w:pPr>
        <w:spacing w:after="0" w:line="240" w:lineRule="auto"/>
        <w:rPr>
          <w:rFonts w:ascii="David" w:hAnsi="David" w:cs="David"/>
          <w:b/>
          <w:bCs/>
          <w:rtl/>
        </w:rPr>
      </w:pPr>
      <w:r w:rsidRPr="00F067DF">
        <w:rPr>
          <w:rFonts w:ascii="David" w:hAnsi="David" w:cs="David" w:hint="cs"/>
          <w:b/>
          <w:bCs/>
          <w:rtl/>
        </w:rPr>
        <w:t>שאלה 2</w:t>
      </w:r>
      <w:r w:rsidR="008B722C" w:rsidRPr="00F067DF">
        <w:rPr>
          <w:rFonts w:ascii="David" w:hAnsi="David" w:cs="David" w:hint="cs"/>
          <w:b/>
          <w:bCs/>
          <w:rtl/>
        </w:rPr>
        <w:t xml:space="preserve"> (10%)</w:t>
      </w:r>
    </w:p>
    <w:p w:rsidR="005D1840" w:rsidRPr="006438DF" w:rsidRDefault="005D1840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 xml:space="preserve">עקרון חוקיות המנהל ומעמדו </w:t>
      </w:r>
      <w:r w:rsidRPr="006438DF">
        <w:rPr>
          <w:rFonts w:ascii="David" w:hAnsi="David" w:cs="David"/>
          <w:rtl/>
        </w:rPr>
        <w:t>–</w:t>
      </w:r>
      <w:r w:rsidRPr="006438DF">
        <w:rPr>
          <w:rFonts w:ascii="David" w:hAnsi="David" w:cs="David" w:hint="cs"/>
          <w:rtl/>
        </w:rPr>
        <w:t xml:space="preserve"> באופן </w:t>
      </w:r>
      <w:r w:rsidR="00CB36D7">
        <w:rPr>
          <w:rFonts w:ascii="David" w:hAnsi="David" w:cs="David" w:hint="cs"/>
          <w:rtl/>
        </w:rPr>
        <w:t>כללי ומידת רציותו</w:t>
      </w:r>
      <w:r w:rsidRPr="006438DF">
        <w:rPr>
          <w:rFonts w:ascii="David" w:hAnsi="David" w:cs="David" w:hint="cs"/>
          <w:rtl/>
        </w:rPr>
        <w:t>.</w:t>
      </w:r>
    </w:p>
    <w:p w:rsidR="005D1840" w:rsidRPr="006438DF" w:rsidRDefault="005D1840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>דיון בעקרון זה לאור הפסיקה</w:t>
      </w:r>
    </w:p>
    <w:p w:rsidR="005D1840" w:rsidRPr="006438DF" w:rsidRDefault="005D1840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 xml:space="preserve">יישום עקרון חוקיות המנהל (למשל: הסדרים ראשוניים/משניים, סמכות, </w:t>
      </w:r>
      <w:r w:rsidR="00CB36D7">
        <w:rPr>
          <w:rFonts w:ascii="David" w:hAnsi="David" w:cs="David" w:hint="cs"/>
          <w:rtl/>
        </w:rPr>
        <w:t>אצילת סמכות/סמכויות עזר</w:t>
      </w:r>
      <w:r w:rsidRPr="006438DF">
        <w:rPr>
          <w:rFonts w:ascii="David" w:hAnsi="David" w:cs="David" w:hint="cs"/>
          <w:rtl/>
        </w:rPr>
        <w:t>)</w:t>
      </w:r>
    </w:p>
    <w:p w:rsidR="005D1840" w:rsidRPr="006438DF" w:rsidRDefault="00CB36D7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מה יחשב כחוק דורסני? האם</w:t>
      </w:r>
      <w:r w:rsidR="005D1840" w:rsidRPr="006438DF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חוק</w:t>
      </w:r>
      <w:r w:rsidR="00E85290" w:rsidRPr="007B2916">
        <w:rPr>
          <w:rFonts w:ascii="David" w:hAnsi="David" w:cs="David" w:hint="cs"/>
          <w:rtl/>
        </w:rPr>
        <w:t xml:space="preserve"> שעבר את המבחן החוקתי </w:t>
      </w:r>
      <w:r>
        <w:rPr>
          <w:rFonts w:ascii="David" w:hAnsi="David" w:cs="David" w:hint="cs"/>
          <w:rtl/>
        </w:rPr>
        <w:t>יכול שיהיה דורסני, ומה מעמדם של מבחני המשפט המינהלי (</w:t>
      </w:r>
      <w:r w:rsidR="00E85290" w:rsidRPr="007B2916">
        <w:rPr>
          <w:rFonts w:ascii="David" w:hAnsi="David" w:cs="David" w:hint="cs"/>
          <w:rtl/>
        </w:rPr>
        <w:t>לדוגמא הסמכה לפגיעה בזכויות האדם צריכה להיות במפורש, לא ניתן לפגוע בזכויות האדם במסגרת סמכויות עזר ויבדקו אם הפעולה המינהלית שפוגעת בזכויות האדם היא מידתית</w:t>
      </w:r>
      <w:r>
        <w:rPr>
          <w:rFonts w:ascii="David" w:hAnsi="David" w:cs="David" w:hint="cs"/>
          <w:rtl/>
        </w:rPr>
        <w:t>)</w:t>
      </w:r>
      <w:r w:rsidR="00E85290" w:rsidRPr="007B2916">
        <w:rPr>
          <w:rFonts w:ascii="David" w:hAnsi="David" w:cs="David" w:hint="cs"/>
          <w:rtl/>
        </w:rPr>
        <w:t>.</w:t>
      </w:r>
    </w:p>
    <w:p w:rsidR="005D1840" w:rsidRPr="006438DF" w:rsidRDefault="005D1840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  <w:rtl/>
        </w:rPr>
      </w:pPr>
      <w:r w:rsidRPr="006438DF">
        <w:rPr>
          <w:rFonts w:ascii="David" w:hAnsi="David" w:cs="David" w:hint="cs"/>
          <w:rtl/>
        </w:rPr>
        <w:t xml:space="preserve">האם העקרון יכול להתמודד עם כנסת עצלנית? </w:t>
      </w:r>
      <w:r w:rsidR="00E85290" w:rsidRPr="007B2916">
        <w:rPr>
          <w:rFonts w:ascii="David" w:hAnsi="David" w:cs="David" w:hint="cs"/>
          <w:rtl/>
        </w:rPr>
        <w:t xml:space="preserve">לדוגמא </w:t>
      </w:r>
      <w:r w:rsidR="00CB36D7">
        <w:rPr>
          <w:rFonts w:ascii="David" w:hAnsi="David" w:cs="David" w:hint="cs"/>
          <w:rtl/>
        </w:rPr>
        <w:t xml:space="preserve">משמעות </w:t>
      </w:r>
      <w:r w:rsidR="00E85290" w:rsidRPr="007B2916">
        <w:rPr>
          <w:rFonts w:ascii="David" w:hAnsi="David" w:cs="David" w:hint="cs"/>
          <w:rtl/>
        </w:rPr>
        <w:t xml:space="preserve">ההלכה בעניין הסדרים ראשוניים ומשנים </w:t>
      </w:r>
    </w:p>
    <w:p w:rsidR="006D765A" w:rsidRPr="005D1840" w:rsidRDefault="006D765A" w:rsidP="001A0CB9">
      <w:pPr>
        <w:pStyle w:val="ListParagraph"/>
        <w:spacing w:after="0" w:line="240" w:lineRule="auto"/>
        <w:ind w:left="360"/>
        <w:rPr>
          <w:rFonts w:ascii="David" w:hAnsi="David" w:cs="David"/>
          <w:b/>
          <w:bCs/>
          <w:u w:val="single"/>
          <w:rtl/>
        </w:rPr>
      </w:pPr>
    </w:p>
    <w:p w:rsidR="006D765A" w:rsidRDefault="006D765A" w:rsidP="001A0CB9">
      <w:pPr>
        <w:spacing w:after="0" w:line="240" w:lineRule="auto"/>
        <w:rPr>
          <w:rFonts w:ascii="David" w:hAnsi="David" w:cs="David"/>
          <w:b/>
          <w:bCs/>
          <w:rtl/>
        </w:rPr>
      </w:pPr>
      <w:r w:rsidRPr="00F067DF">
        <w:rPr>
          <w:rFonts w:ascii="David" w:hAnsi="David" w:cs="David" w:hint="cs"/>
          <w:b/>
          <w:bCs/>
          <w:rtl/>
        </w:rPr>
        <w:t>שאלה 3</w:t>
      </w:r>
      <w:r w:rsidR="008B722C" w:rsidRPr="00F067DF">
        <w:rPr>
          <w:rFonts w:ascii="David" w:hAnsi="David" w:cs="David" w:hint="cs"/>
          <w:b/>
          <w:bCs/>
          <w:rtl/>
        </w:rPr>
        <w:t xml:space="preserve"> (10%)</w:t>
      </w:r>
    </w:p>
    <w:p w:rsidR="001A0CB9" w:rsidRPr="00F067DF" w:rsidRDefault="001A0CB9" w:rsidP="001A0CB9">
      <w:pPr>
        <w:spacing w:after="0" w:line="240" w:lineRule="auto"/>
        <w:rPr>
          <w:rFonts w:ascii="David" w:hAnsi="David" w:cs="David"/>
          <w:b/>
          <w:bCs/>
          <w:rtl/>
        </w:rPr>
      </w:pP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>פסק הדין עוסק בחוקיות מתווה הגז, עיקר הדיון בפסקת היציבות הרגולטורית.</w:t>
      </w:r>
      <w:r w:rsidR="00206079">
        <w:rPr>
          <w:rFonts w:ascii="David" w:hAnsi="David" w:cs="David" w:hint="cs"/>
          <w:rtl/>
        </w:rPr>
        <w:t xml:space="preserve"> שלושת הנושאים העיקריים: נושא כבילת שק"ד; הסדרים ראשוניים; בטלות</w:t>
      </w:r>
    </w:p>
    <w:p w:rsidR="006D765A" w:rsidRPr="006438DF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>רובינשטיין (רוב): פסקת היציבות הרגולטורית מנוגדת</w:t>
      </w:r>
      <w:r w:rsidRPr="006438DF">
        <w:rPr>
          <w:rFonts w:ascii="David" w:hAnsi="David" w:cs="David"/>
          <w:rtl/>
        </w:rPr>
        <w:t xml:space="preserve"> לכלל הבסיסי במשפט המינהלי בדבר איסור על כבילת שיקול הדעת של הרשות.</w:t>
      </w:r>
      <w:r w:rsidRPr="006438DF">
        <w:rPr>
          <w:rFonts w:ascii="David" w:hAnsi="David" w:cs="David" w:hint="cs"/>
          <w:rtl/>
        </w:rPr>
        <w:t xml:space="preserve"> אי לכך וכיוון ש</w:t>
      </w:r>
      <w:r w:rsidRPr="006438DF">
        <w:rPr>
          <w:rFonts w:ascii="David" w:hAnsi="David" w:cs="David"/>
          <w:rtl/>
        </w:rPr>
        <w:t>פסקת היציבות היא תנאי אין בלתו, דין המתווה כולו – להתבטל; אך יש ליתן למדינה פרק זמן של שנה לפעול להסדרת הדרוש בהתאם לפס"ד זה. ככל שלא תהא הסדרה, יבוטל מתווה הגז.</w:t>
      </w:r>
    </w:p>
    <w:p w:rsidR="006D765A" w:rsidRDefault="006D765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 w:rsidRPr="006438DF">
        <w:rPr>
          <w:rFonts w:ascii="David" w:hAnsi="David" w:cs="David" w:hint="cs"/>
          <w:rtl/>
        </w:rPr>
        <w:t xml:space="preserve">סולברג (מיעוט): </w:t>
      </w:r>
      <w:r w:rsidRPr="006438DF">
        <w:rPr>
          <w:rFonts w:ascii="David" w:hAnsi="David" w:cs="David"/>
          <w:rtl/>
        </w:rPr>
        <w:t>פסקת היציבות הרגולטורית, אף שהיא מגבילה את שיקול הדעת המינהלי של הממשלה, יכולה לעמוד</w:t>
      </w:r>
      <w:r w:rsidRPr="006438DF">
        <w:rPr>
          <w:rFonts w:ascii="David" w:hAnsi="David" w:cs="David" w:hint="cs"/>
          <w:rtl/>
        </w:rPr>
        <w:t xml:space="preserve">- </w:t>
      </w:r>
      <w:r w:rsidRPr="006438DF">
        <w:rPr>
          <w:rFonts w:ascii="David" w:hAnsi="David" w:cs="David"/>
          <w:rtl/>
        </w:rPr>
        <w:t>כבילת שיקול הדעת היא פועל יוצא הכרחי מעצם קיומם של חוזים מנהליים והבטחות מנהליות, והאיזון בא לידי ביטוי בהלכת ההשתחררות ובאפשרות לסגת מהבטחה מנהלית.</w:t>
      </w:r>
      <w:r w:rsidRPr="006438DF">
        <w:rPr>
          <w:rFonts w:ascii="David" w:hAnsi="David" w:cs="David" w:hint="cs"/>
          <w:rtl/>
        </w:rPr>
        <w:t xml:space="preserve"> לדעתו, </w:t>
      </w:r>
      <w:r w:rsidRPr="006438DF">
        <w:rPr>
          <w:rFonts w:ascii="David" w:hAnsi="David" w:cs="David"/>
          <w:rtl/>
        </w:rPr>
        <w:t>דינן של העתירות להידחות</w:t>
      </w:r>
      <w:r w:rsidRPr="006438DF">
        <w:rPr>
          <w:rFonts w:ascii="David" w:hAnsi="David" w:cs="David" w:hint="cs"/>
          <w:rtl/>
        </w:rPr>
        <w:t>.</w:t>
      </w:r>
    </w:p>
    <w:p w:rsidR="001A0CB9" w:rsidRPr="006438DF" w:rsidRDefault="001A0CB9" w:rsidP="001A0CB9">
      <w:pPr>
        <w:pStyle w:val="ListParagraph"/>
        <w:spacing w:after="0" w:line="240" w:lineRule="auto"/>
        <w:ind w:left="360"/>
        <w:rPr>
          <w:rFonts w:ascii="David" w:hAnsi="David" w:cs="David"/>
        </w:rPr>
      </w:pPr>
    </w:p>
    <w:p w:rsidR="006D765A" w:rsidRDefault="006D765A" w:rsidP="001A0CB9">
      <w:pPr>
        <w:spacing w:after="0" w:line="240" w:lineRule="auto"/>
        <w:rPr>
          <w:rFonts w:ascii="David" w:hAnsi="David" w:cs="David"/>
          <w:b/>
          <w:bCs/>
          <w:rtl/>
        </w:rPr>
      </w:pPr>
      <w:r w:rsidRPr="00F067DF">
        <w:rPr>
          <w:rFonts w:ascii="David" w:hAnsi="David" w:cs="David" w:hint="cs"/>
          <w:b/>
          <w:bCs/>
          <w:rtl/>
        </w:rPr>
        <w:t>שאלה 4</w:t>
      </w:r>
      <w:r w:rsidR="008B722C" w:rsidRPr="00F067DF">
        <w:rPr>
          <w:rFonts w:ascii="David" w:hAnsi="David" w:cs="David" w:hint="cs"/>
          <w:b/>
          <w:bCs/>
          <w:rtl/>
        </w:rPr>
        <w:t xml:space="preserve"> (10%)</w:t>
      </w:r>
    </w:p>
    <w:p w:rsidR="001A0CB9" w:rsidRPr="00F067DF" w:rsidRDefault="001A0CB9" w:rsidP="001A0CB9">
      <w:pPr>
        <w:spacing w:after="0" w:line="240" w:lineRule="auto"/>
        <w:rPr>
          <w:rFonts w:ascii="David" w:hAnsi="David" w:cs="David"/>
          <w:b/>
          <w:bCs/>
          <w:rtl/>
        </w:rPr>
      </w:pPr>
    </w:p>
    <w:p w:rsidR="006D765A" w:rsidRDefault="00FF2AB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</w:t>
      </w:r>
      <w:r w:rsidRPr="00FF2ABA">
        <w:rPr>
          <w:rFonts w:ascii="David" w:hAnsi="David" w:cs="David"/>
          <w:rtl/>
        </w:rPr>
        <w:t>הבחנה בין אצילת סמכויות לבין היעזרות בעניינים טכניים</w:t>
      </w:r>
    </w:p>
    <w:p w:rsidR="00FF2ABA" w:rsidRDefault="00FF2ABA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ככלל אצילת סמכות אכן מקושרת עם הפעלת שק"</w:t>
      </w:r>
      <w:r w:rsidR="001A0CB9">
        <w:rPr>
          <w:rFonts w:ascii="David" w:hAnsi="David" w:cs="David" w:hint="cs"/>
          <w:rtl/>
        </w:rPr>
        <w:t>ד</w:t>
      </w:r>
    </w:p>
    <w:p w:rsidR="00752310" w:rsidRDefault="001A0CB9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דיון בדוגמאות לגבי ההלכה בדבר האצלת תפקיד טכני </w:t>
      </w:r>
      <w:r w:rsidR="00752310">
        <w:rPr>
          <w:rFonts w:ascii="David" w:hAnsi="David" w:cs="David" w:hint="cs"/>
          <w:rtl/>
        </w:rPr>
        <w:t>/ דוגמאות לה</w:t>
      </w:r>
      <w:r>
        <w:rPr>
          <w:rFonts w:ascii="David" w:hAnsi="David" w:cs="David" w:hint="cs"/>
          <w:rtl/>
        </w:rPr>
        <w:t>ענקת תפקיד של שק"ד שאינה אצילה</w:t>
      </w:r>
    </w:p>
    <w:p w:rsidR="00D23BBD" w:rsidRPr="00CB36D7" w:rsidRDefault="001A0CB9" w:rsidP="001A0CB9">
      <w:pPr>
        <w:pStyle w:val="ListParagraph"/>
        <w:numPr>
          <w:ilvl w:val="0"/>
          <w:numId w:val="9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 xml:space="preserve">דיון בפסק הדין בעניין </w:t>
      </w:r>
      <w:r w:rsidR="00577E7D">
        <w:rPr>
          <w:rFonts w:ascii="David" w:hAnsi="David" w:cs="David" w:hint="cs"/>
          <w:rtl/>
        </w:rPr>
        <w:t xml:space="preserve">עיר עמים, </w:t>
      </w:r>
      <w:r w:rsidR="00577E7D" w:rsidRPr="00577E7D">
        <w:rPr>
          <w:rFonts w:ascii="David" w:hAnsi="David" w:cs="David"/>
          <w:rtl/>
        </w:rPr>
        <w:t xml:space="preserve">בית המשפט רומז </w:t>
      </w:r>
      <w:r w:rsidR="00577E7D">
        <w:rPr>
          <w:rFonts w:ascii="David" w:hAnsi="David" w:cs="David" w:hint="cs"/>
          <w:rtl/>
        </w:rPr>
        <w:t xml:space="preserve">שניתן לאצול גם עניינים הדורשים הפעלת </w:t>
      </w:r>
      <w:r w:rsidR="00577E7D">
        <w:rPr>
          <w:rFonts w:ascii="David" w:hAnsi="David" w:cs="David"/>
          <w:rtl/>
        </w:rPr>
        <w:t xml:space="preserve">שיקול דעת מצומצם </w:t>
      </w:r>
      <w:r w:rsidR="00577E7D">
        <w:rPr>
          <w:rFonts w:ascii="David" w:hAnsi="David" w:cs="David" w:hint="cs"/>
          <w:rtl/>
        </w:rPr>
        <w:t xml:space="preserve">(אפילו לגורם פרטי) וזאת </w:t>
      </w:r>
      <w:r w:rsidR="00577E7D" w:rsidRPr="00577E7D">
        <w:rPr>
          <w:rFonts w:ascii="David" w:hAnsi="David" w:cs="David"/>
          <w:rtl/>
        </w:rPr>
        <w:t>בתנאי שיש פיקוח ורגולציה</w:t>
      </w:r>
      <w:r w:rsidR="00577E7D">
        <w:rPr>
          <w:rFonts w:ascii="David" w:hAnsi="David" w:cs="David" w:hint="cs"/>
          <w:rtl/>
        </w:rPr>
        <w:t xml:space="preserve"> מצד הרשות המבצעת</w:t>
      </w:r>
    </w:p>
    <w:sectPr w:rsidR="00D23BBD" w:rsidRPr="00CB36D7" w:rsidSect="00C63C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591"/>
    <w:multiLevelType w:val="hybridMultilevel"/>
    <w:tmpl w:val="9D5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165"/>
    <w:multiLevelType w:val="hybridMultilevel"/>
    <w:tmpl w:val="F25E808E"/>
    <w:lvl w:ilvl="0" w:tplc="EF808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6F2"/>
    <w:multiLevelType w:val="hybridMultilevel"/>
    <w:tmpl w:val="B9FC7268"/>
    <w:lvl w:ilvl="0" w:tplc="E7DEBDD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3" w15:restartNumberingAfterBreak="0">
    <w:nsid w:val="2AA362B0"/>
    <w:multiLevelType w:val="hybridMultilevel"/>
    <w:tmpl w:val="9238020C"/>
    <w:lvl w:ilvl="0" w:tplc="E7DEBDD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" w15:restartNumberingAfterBreak="0">
    <w:nsid w:val="34222E98"/>
    <w:multiLevelType w:val="hybridMultilevel"/>
    <w:tmpl w:val="6FBAA5AC"/>
    <w:lvl w:ilvl="0" w:tplc="E7DEBDD0">
      <w:start w:val="3"/>
      <w:numFmt w:val="bullet"/>
      <w:lvlText w:val=""/>
      <w:lvlJc w:val="left"/>
      <w:pPr>
        <w:ind w:left="1584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D7F7D09"/>
    <w:multiLevelType w:val="hybridMultilevel"/>
    <w:tmpl w:val="357C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647"/>
    <w:multiLevelType w:val="multilevel"/>
    <w:tmpl w:val="A76A0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AB043D"/>
    <w:multiLevelType w:val="hybridMultilevel"/>
    <w:tmpl w:val="7954F9F2"/>
    <w:lvl w:ilvl="0" w:tplc="E7DEBDD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8" w15:restartNumberingAfterBreak="0">
    <w:nsid w:val="5F453297"/>
    <w:multiLevelType w:val="multilevel"/>
    <w:tmpl w:val="A76A0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0315E9A"/>
    <w:multiLevelType w:val="hybridMultilevel"/>
    <w:tmpl w:val="239C7830"/>
    <w:lvl w:ilvl="0" w:tplc="E7DEBDD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5"/>
    <w:rsid w:val="00024642"/>
    <w:rsid w:val="0005163E"/>
    <w:rsid w:val="000A7CC1"/>
    <w:rsid w:val="000E4007"/>
    <w:rsid w:val="000F4EC7"/>
    <w:rsid w:val="001A0CB9"/>
    <w:rsid w:val="001B2C87"/>
    <w:rsid w:val="00206079"/>
    <w:rsid w:val="00262282"/>
    <w:rsid w:val="00281CAF"/>
    <w:rsid w:val="003E3393"/>
    <w:rsid w:val="004C01C4"/>
    <w:rsid w:val="004C1DA3"/>
    <w:rsid w:val="004F4F2A"/>
    <w:rsid w:val="00572AC7"/>
    <w:rsid w:val="00577E7D"/>
    <w:rsid w:val="00591530"/>
    <w:rsid w:val="005D1840"/>
    <w:rsid w:val="006438DF"/>
    <w:rsid w:val="006906D4"/>
    <w:rsid w:val="006D765A"/>
    <w:rsid w:val="00752310"/>
    <w:rsid w:val="00755C24"/>
    <w:rsid w:val="007B2916"/>
    <w:rsid w:val="00816D43"/>
    <w:rsid w:val="00842339"/>
    <w:rsid w:val="008B722C"/>
    <w:rsid w:val="008E318E"/>
    <w:rsid w:val="009176C3"/>
    <w:rsid w:val="009E591D"/>
    <w:rsid w:val="00A373E5"/>
    <w:rsid w:val="00B5639C"/>
    <w:rsid w:val="00C459FE"/>
    <w:rsid w:val="00C63C29"/>
    <w:rsid w:val="00C91AD8"/>
    <w:rsid w:val="00CB36D7"/>
    <w:rsid w:val="00CD19D0"/>
    <w:rsid w:val="00D23BBD"/>
    <w:rsid w:val="00E14801"/>
    <w:rsid w:val="00E85290"/>
    <w:rsid w:val="00EB10F5"/>
    <w:rsid w:val="00F067DF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31EB-9A88-4694-83B8-5BFFE64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0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F5"/>
    <w:pPr>
      <w:ind w:left="720"/>
      <w:contextualSpacing/>
    </w:pPr>
  </w:style>
  <w:style w:type="paragraph" w:customStyle="1" w:styleId="a">
    <w:name w:val="פסקי דין"/>
    <w:basedOn w:val="Normal"/>
    <w:rsid w:val="00FF2ABA"/>
    <w:pPr>
      <w:spacing w:after="0" w:line="360" w:lineRule="auto"/>
      <w:ind w:left="901" w:hanging="567"/>
    </w:pPr>
    <w:rPr>
      <w:rFonts w:ascii="Times New Roman" w:eastAsia="Times New Roman" w:hAnsi="Times New Roman" w:cs="David"/>
      <w:noProof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C459F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3D26-3AE3-41E3-8F96-44F161D3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4700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Ben Ami</dc:creator>
  <cp:lastModifiedBy>Adi Ben Ami</cp:lastModifiedBy>
  <cp:revision>2</cp:revision>
  <dcterms:created xsi:type="dcterms:W3CDTF">2017-02-22T12:00:00Z</dcterms:created>
  <dcterms:modified xsi:type="dcterms:W3CDTF">2017-02-22T12:00:00Z</dcterms:modified>
</cp:coreProperties>
</file>