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92" w:rsidRPr="002821D3" w:rsidRDefault="00081392" w:rsidP="007123AB">
      <w:pPr>
        <w:spacing w:after="0" w:line="360" w:lineRule="auto"/>
        <w:jc w:val="center"/>
        <w:rPr>
          <w:rFonts w:cs="David"/>
          <w:b/>
          <w:bCs/>
          <w:sz w:val="24"/>
          <w:szCs w:val="24"/>
          <w:rtl/>
        </w:rPr>
      </w:pPr>
      <w:r>
        <w:rPr>
          <w:rFonts w:cs="David" w:hint="cs"/>
          <w:b/>
          <w:bCs/>
          <w:sz w:val="24"/>
          <w:szCs w:val="24"/>
          <w:rtl/>
        </w:rPr>
        <w:t>חקיקה ורגולציה</w:t>
      </w:r>
    </w:p>
    <w:p w:rsidR="00081392" w:rsidRPr="002821D3" w:rsidRDefault="00081392" w:rsidP="007123AB">
      <w:pPr>
        <w:spacing w:after="0" w:line="360" w:lineRule="auto"/>
        <w:jc w:val="center"/>
        <w:rPr>
          <w:rFonts w:cs="David"/>
          <w:b/>
          <w:bCs/>
          <w:sz w:val="24"/>
          <w:szCs w:val="24"/>
          <w:rtl/>
        </w:rPr>
      </w:pPr>
      <w:r w:rsidRPr="002821D3">
        <w:rPr>
          <w:rFonts w:cs="David"/>
          <w:b/>
          <w:bCs/>
          <w:sz w:val="24"/>
          <w:szCs w:val="24"/>
          <w:rtl/>
        </w:rPr>
        <w:t>פרופ'  נטע זיו</w:t>
      </w:r>
    </w:p>
    <w:p w:rsidR="00081392" w:rsidRDefault="00081392" w:rsidP="007123AB">
      <w:pPr>
        <w:spacing w:after="0" w:line="360" w:lineRule="auto"/>
        <w:jc w:val="center"/>
        <w:rPr>
          <w:rFonts w:cs="David"/>
          <w:b/>
          <w:bCs/>
          <w:sz w:val="24"/>
          <w:szCs w:val="24"/>
          <w:u w:val="single"/>
          <w:rtl/>
        </w:rPr>
      </w:pPr>
      <w:r w:rsidRPr="002821D3">
        <w:rPr>
          <w:rFonts w:cs="David"/>
          <w:b/>
          <w:bCs/>
          <w:sz w:val="24"/>
          <w:szCs w:val="24"/>
          <w:u w:val="single"/>
          <w:rtl/>
        </w:rPr>
        <w:t>שנה"ל תשע"</w:t>
      </w:r>
      <w:r w:rsidR="00575BC4">
        <w:rPr>
          <w:rFonts w:cs="David" w:hint="cs"/>
          <w:b/>
          <w:bCs/>
          <w:sz w:val="24"/>
          <w:szCs w:val="24"/>
          <w:u w:val="single"/>
          <w:rtl/>
        </w:rPr>
        <w:t>ז</w:t>
      </w:r>
      <w:r w:rsidRPr="002821D3">
        <w:rPr>
          <w:rFonts w:cs="David"/>
          <w:b/>
          <w:bCs/>
          <w:sz w:val="24"/>
          <w:szCs w:val="24"/>
          <w:u w:val="single"/>
          <w:rtl/>
        </w:rPr>
        <w:t xml:space="preserve"> </w:t>
      </w:r>
      <w:r w:rsidRPr="002821D3">
        <w:rPr>
          <w:rFonts w:cs="David"/>
          <w:b/>
          <w:bCs/>
          <w:sz w:val="24"/>
          <w:szCs w:val="24"/>
          <w:u w:val="single"/>
        </w:rPr>
        <w:t>–</w:t>
      </w:r>
      <w:r w:rsidRPr="002821D3">
        <w:rPr>
          <w:rFonts w:cs="David"/>
          <w:b/>
          <w:bCs/>
          <w:sz w:val="24"/>
          <w:szCs w:val="24"/>
          <w:u w:val="single"/>
          <w:rtl/>
        </w:rPr>
        <w:t xml:space="preserve"> סמסטר </w:t>
      </w:r>
      <w:r>
        <w:rPr>
          <w:rFonts w:cs="David" w:hint="cs"/>
          <w:b/>
          <w:bCs/>
          <w:sz w:val="24"/>
          <w:szCs w:val="24"/>
          <w:u w:val="single"/>
          <w:rtl/>
        </w:rPr>
        <w:t>ב</w:t>
      </w:r>
      <w:r w:rsidRPr="002821D3">
        <w:rPr>
          <w:rFonts w:cs="David"/>
          <w:b/>
          <w:bCs/>
          <w:sz w:val="24"/>
          <w:szCs w:val="24"/>
          <w:u w:val="single"/>
          <w:rtl/>
        </w:rPr>
        <w:t>'</w:t>
      </w:r>
    </w:p>
    <w:p w:rsidR="00081392" w:rsidRPr="00C1074A" w:rsidRDefault="00081392" w:rsidP="007123AB">
      <w:pPr>
        <w:spacing w:after="0" w:line="360" w:lineRule="auto"/>
        <w:jc w:val="center"/>
        <w:rPr>
          <w:rFonts w:cs="David"/>
          <w:b/>
          <w:bCs/>
          <w:sz w:val="24"/>
          <w:szCs w:val="24"/>
          <w:rtl/>
        </w:rPr>
      </w:pPr>
      <w:r w:rsidRPr="00C1074A">
        <w:rPr>
          <w:rFonts w:cs="David" w:hint="cs"/>
          <w:b/>
          <w:bCs/>
          <w:sz w:val="24"/>
          <w:szCs w:val="24"/>
          <w:rtl/>
        </w:rPr>
        <w:t>בחינה</w:t>
      </w:r>
      <w:r w:rsidR="007123AB">
        <w:rPr>
          <w:rFonts w:cs="David" w:hint="cs"/>
          <w:b/>
          <w:bCs/>
          <w:sz w:val="24"/>
          <w:szCs w:val="24"/>
          <w:rtl/>
        </w:rPr>
        <w:t xml:space="preserve"> מועד א</w:t>
      </w:r>
    </w:p>
    <w:p w:rsidR="00081392" w:rsidRPr="002821D3" w:rsidRDefault="00081392" w:rsidP="00D8792D">
      <w:pPr>
        <w:spacing w:after="0" w:line="360" w:lineRule="auto"/>
        <w:jc w:val="both"/>
        <w:rPr>
          <w:rFonts w:cs="David"/>
          <w:b/>
          <w:bCs/>
          <w:sz w:val="24"/>
          <w:szCs w:val="24"/>
          <w:rtl/>
        </w:rPr>
      </w:pPr>
    </w:p>
    <w:p w:rsidR="007123AB" w:rsidRDefault="007123AB" w:rsidP="007123AB">
      <w:pPr>
        <w:spacing w:line="360" w:lineRule="auto"/>
        <w:jc w:val="both"/>
        <w:rPr>
          <w:rFonts w:cs="David"/>
          <w:b/>
          <w:bCs/>
          <w:sz w:val="24"/>
          <w:szCs w:val="24"/>
          <w:rtl/>
        </w:rPr>
      </w:pPr>
      <w:r>
        <w:rPr>
          <w:rFonts w:cs="David" w:hint="cs"/>
          <w:b/>
          <w:bCs/>
          <w:sz w:val="24"/>
          <w:szCs w:val="24"/>
          <w:rtl/>
        </w:rPr>
        <w:t>הפתרון המצורף הוא פתרון בנקודות. טענות אחרות שהועלו התקבלו ככל שהיו מבוססות ומנומקות בחומרי הקריאה והנלמד בשיעור. הניקוד על התשובות ניתן לפי רמת הניתוח והיכולת ליישם באופן אינטליגנטי ורלוונטי את התיאוריות על עובדות המקרה שבשאלות.</w:t>
      </w:r>
    </w:p>
    <w:p w:rsidR="00DE1217" w:rsidRDefault="00081392" w:rsidP="00D8792D">
      <w:pPr>
        <w:jc w:val="both"/>
        <w:rPr>
          <w:rFonts w:cs="David"/>
          <w:sz w:val="24"/>
          <w:szCs w:val="24"/>
          <w:u w:val="single"/>
          <w:rtl/>
        </w:rPr>
      </w:pPr>
      <w:r w:rsidRPr="005F02AB">
        <w:rPr>
          <w:rFonts w:cs="David" w:hint="cs"/>
          <w:sz w:val="24"/>
          <w:szCs w:val="24"/>
          <w:u w:val="single"/>
          <w:rtl/>
        </w:rPr>
        <w:t xml:space="preserve">חלק </w:t>
      </w:r>
      <w:r w:rsidR="00575BC4">
        <w:rPr>
          <w:rFonts w:cs="David" w:hint="cs"/>
          <w:sz w:val="24"/>
          <w:szCs w:val="24"/>
          <w:u w:val="single"/>
        </w:rPr>
        <w:t>I</w:t>
      </w:r>
      <w:r w:rsidRPr="005F02AB">
        <w:rPr>
          <w:rFonts w:cs="David" w:hint="cs"/>
          <w:sz w:val="24"/>
          <w:szCs w:val="24"/>
          <w:u w:val="single"/>
          <w:rtl/>
        </w:rPr>
        <w:t xml:space="preserve"> </w:t>
      </w:r>
      <w:r w:rsidRPr="005F02AB">
        <w:rPr>
          <w:rFonts w:cs="David"/>
          <w:sz w:val="24"/>
          <w:szCs w:val="24"/>
          <w:u w:val="single"/>
          <w:rtl/>
        </w:rPr>
        <w:t>–</w:t>
      </w:r>
      <w:r w:rsidRPr="005F02AB">
        <w:rPr>
          <w:rFonts w:cs="David" w:hint="cs"/>
          <w:sz w:val="24"/>
          <w:szCs w:val="24"/>
          <w:u w:val="single"/>
          <w:rtl/>
        </w:rPr>
        <w:t xml:space="preserve"> סמנו את התשובה הנראית לכם נכונה  (2</w:t>
      </w:r>
      <w:r w:rsidR="001B2DA2">
        <w:rPr>
          <w:rFonts w:cs="David" w:hint="cs"/>
          <w:sz w:val="24"/>
          <w:szCs w:val="24"/>
          <w:u w:val="single"/>
          <w:rtl/>
        </w:rPr>
        <w:t>4</w:t>
      </w:r>
      <w:r w:rsidRPr="005F02AB">
        <w:rPr>
          <w:rFonts w:cs="David" w:hint="cs"/>
          <w:sz w:val="24"/>
          <w:szCs w:val="24"/>
          <w:u w:val="single"/>
          <w:rtl/>
        </w:rPr>
        <w:t xml:space="preserve"> נק' </w:t>
      </w:r>
      <w:r w:rsidRPr="005F02AB">
        <w:rPr>
          <w:rFonts w:cs="David"/>
          <w:sz w:val="24"/>
          <w:szCs w:val="24"/>
          <w:u w:val="single"/>
          <w:rtl/>
        </w:rPr>
        <w:t>–</w:t>
      </w:r>
      <w:r w:rsidRPr="005F02AB">
        <w:rPr>
          <w:rFonts w:cs="David" w:hint="cs"/>
          <w:sz w:val="24"/>
          <w:szCs w:val="24"/>
          <w:u w:val="single"/>
          <w:rtl/>
        </w:rPr>
        <w:t xml:space="preserve"> כל שאלה: </w:t>
      </w:r>
      <w:r w:rsidR="00817F14">
        <w:rPr>
          <w:rFonts w:cs="David" w:hint="cs"/>
          <w:sz w:val="24"/>
          <w:szCs w:val="24"/>
          <w:u w:val="single"/>
          <w:rtl/>
        </w:rPr>
        <w:t>4</w:t>
      </w:r>
      <w:r w:rsidRPr="005F02AB">
        <w:rPr>
          <w:rFonts w:cs="David" w:hint="cs"/>
          <w:sz w:val="24"/>
          <w:szCs w:val="24"/>
          <w:u w:val="single"/>
          <w:rtl/>
        </w:rPr>
        <w:t xml:space="preserve"> נק')</w:t>
      </w:r>
    </w:p>
    <w:p w:rsidR="00575BC4" w:rsidRPr="00575BC4" w:rsidRDefault="00575BC4" w:rsidP="00D8792D">
      <w:pPr>
        <w:pStyle w:val="P00"/>
        <w:numPr>
          <w:ilvl w:val="0"/>
          <w:numId w:val="14"/>
        </w:numPr>
        <w:spacing w:before="72"/>
        <w:ind w:right="1134"/>
        <w:rPr>
          <w:rStyle w:val="default"/>
          <w:rFonts w:cs="David"/>
          <w:szCs w:val="24"/>
          <w:rtl/>
        </w:rPr>
      </w:pPr>
      <w:r w:rsidRPr="00575BC4">
        <w:rPr>
          <w:rStyle w:val="default"/>
          <w:rFonts w:cs="David"/>
          <w:szCs w:val="24"/>
        </w:rPr>
        <w:t xml:space="preserve">RIA </w:t>
      </w:r>
      <w:r w:rsidRPr="00575BC4">
        <w:rPr>
          <w:rStyle w:val="default"/>
          <w:rFonts w:cs="David" w:hint="cs"/>
          <w:szCs w:val="24"/>
          <w:rtl/>
        </w:rPr>
        <w:t xml:space="preserve"> - משמעותה:</w:t>
      </w:r>
    </w:p>
    <w:p w:rsidR="00575BC4" w:rsidRPr="00575BC4" w:rsidRDefault="00575BC4" w:rsidP="00D8792D">
      <w:pPr>
        <w:pStyle w:val="P00"/>
        <w:numPr>
          <w:ilvl w:val="0"/>
          <w:numId w:val="16"/>
        </w:numPr>
        <w:spacing w:before="72"/>
        <w:ind w:right="1134"/>
        <w:rPr>
          <w:rStyle w:val="default"/>
          <w:rFonts w:cs="David"/>
          <w:szCs w:val="24"/>
          <w:rtl/>
        </w:rPr>
      </w:pPr>
      <w:r w:rsidRPr="00575BC4">
        <w:rPr>
          <w:rStyle w:val="default"/>
          <w:rFonts w:cs="David" w:hint="cs"/>
          <w:szCs w:val="24"/>
          <w:rtl/>
        </w:rPr>
        <w:t>ביקורת של מלומדים על הליכי רגולציה העלולים להיות שבויים בידי המפוקח</w:t>
      </w:r>
    </w:p>
    <w:p w:rsidR="00575BC4" w:rsidRPr="00575BC4" w:rsidRDefault="00575BC4" w:rsidP="00D8792D">
      <w:pPr>
        <w:pStyle w:val="P00"/>
        <w:numPr>
          <w:ilvl w:val="0"/>
          <w:numId w:val="16"/>
        </w:numPr>
        <w:spacing w:before="72"/>
        <w:ind w:right="1134"/>
        <w:rPr>
          <w:rStyle w:val="default"/>
          <w:rFonts w:cs="David"/>
          <w:szCs w:val="24"/>
        </w:rPr>
      </w:pPr>
      <w:r w:rsidRPr="00575BC4">
        <w:rPr>
          <w:rStyle w:val="default"/>
          <w:rFonts w:cs="David" w:hint="cs"/>
          <w:szCs w:val="24"/>
          <w:rtl/>
        </w:rPr>
        <w:t>ההנחה לפיה עדיף לקבוע סוכנות רגולטור על פני רגולטור ממשלתי על מנת להבטיח עצמאות ושיקול דעת מקצועי</w:t>
      </w:r>
    </w:p>
    <w:p w:rsidR="00575BC4" w:rsidRPr="00575BC4" w:rsidRDefault="00575BC4" w:rsidP="00D8792D">
      <w:pPr>
        <w:pStyle w:val="P00"/>
        <w:numPr>
          <w:ilvl w:val="0"/>
          <w:numId w:val="16"/>
        </w:numPr>
        <w:spacing w:before="72"/>
        <w:ind w:right="1134"/>
        <w:rPr>
          <w:rStyle w:val="default"/>
          <w:rFonts w:cs="David"/>
          <w:szCs w:val="24"/>
          <w:highlight w:val="yellow"/>
        </w:rPr>
      </w:pPr>
      <w:r w:rsidRPr="00575BC4">
        <w:rPr>
          <w:rStyle w:val="default"/>
          <w:rFonts w:cs="David" w:hint="cs"/>
          <w:szCs w:val="24"/>
          <w:highlight w:val="yellow"/>
          <w:rtl/>
        </w:rPr>
        <w:t>חלק מתורת רגולציה שמטרתה להשביח את תהליך הרגולטורי</w:t>
      </w:r>
      <w:r w:rsidR="00E900FF">
        <w:rPr>
          <w:rStyle w:val="default"/>
          <w:rFonts w:cs="David" w:hint="cs"/>
          <w:szCs w:val="24"/>
          <w:highlight w:val="yellow"/>
          <w:rtl/>
        </w:rPr>
        <w:t xml:space="preserve"> באמצעות הערכת השלכותיה</w:t>
      </w:r>
    </w:p>
    <w:p w:rsidR="00575BC4" w:rsidRDefault="00575BC4" w:rsidP="00D8792D">
      <w:pPr>
        <w:pStyle w:val="P00"/>
        <w:numPr>
          <w:ilvl w:val="0"/>
          <w:numId w:val="16"/>
        </w:numPr>
        <w:spacing w:before="72"/>
        <w:ind w:right="1134"/>
        <w:rPr>
          <w:rStyle w:val="default"/>
          <w:rFonts w:cs="David"/>
          <w:szCs w:val="24"/>
        </w:rPr>
      </w:pPr>
      <w:r w:rsidRPr="00575BC4">
        <w:rPr>
          <w:rStyle w:val="default"/>
          <w:rFonts w:cs="David" w:hint="cs"/>
          <w:szCs w:val="24"/>
          <w:rtl/>
        </w:rPr>
        <w:t xml:space="preserve">הנחיות למחוקק ולרשות המבצעת על הדרכים הראויות לקידום חקיקה ותקנות. </w:t>
      </w:r>
    </w:p>
    <w:p w:rsidR="00575BC4" w:rsidRDefault="00575BC4" w:rsidP="00D8792D">
      <w:pPr>
        <w:pStyle w:val="P00"/>
        <w:spacing w:before="72"/>
        <w:ind w:right="1134"/>
        <w:rPr>
          <w:rStyle w:val="default"/>
          <w:rFonts w:cs="David"/>
          <w:szCs w:val="24"/>
          <w:rtl/>
        </w:rPr>
      </w:pPr>
    </w:p>
    <w:p w:rsidR="00A54B24" w:rsidRPr="007123AB" w:rsidRDefault="00EF52CE" w:rsidP="00D8792D">
      <w:pPr>
        <w:pStyle w:val="big-header"/>
        <w:numPr>
          <w:ilvl w:val="0"/>
          <w:numId w:val="14"/>
        </w:numPr>
        <w:ind w:right="1134"/>
        <w:jc w:val="both"/>
        <w:rPr>
          <w:rFonts w:cs="David"/>
          <w:sz w:val="24"/>
          <w:szCs w:val="24"/>
          <w:rtl/>
        </w:rPr>
      </w:pPr>
      <w:r w:rsidRPr="007123AB">
        <w:rPr>
          <w:rFonts w:cs="David" w:hint="cs"/>
          <w:sz w:val="24"/>
          <w:szCs w:val="24"/>
          <w:rtl/>
        </w:rPr>
        <w:t xml:space="preserve">  </w:t>
      </w:r>
      <w:r w:rsidR="00A54B24" w:rsidRPr="007123AB">
        <w:rPr>
          <w:rFonts w:cs="David" w:hint="cs"/>
          <w:sz w:val="24"/>
          <w:szCs w:val="24"/>
          <w:rtl/>
        </w:rPr>
        <w:t>ב</w:t>
      </w:r>
      <w:r w:rsidR="00A54B24" w:rsidRPr="007123AB">
        <w:rPr>
          <w:rFonts w:cs="David"/>
          <w:sz w:val="24"/>
          <w:szCs w:val="24"/>
          <w:rtl/>
        </w:rPr>
        <w:t>תקנות הגנת הצרכן (האותיות בחוזה אחיד</w:t>
      </w:r>
      <w:r w:rsidR="00A54B24" w:rsidRPr="007123AB">
        <w:rPr>
          <w:rFonts w:cs="David" w:hint="cs"/>
          <w:sz w:val="24"/>
          <w:szCs w:val="24"/>
          <w:rtl/>
        </w:rPr>
        <w:t xml:space="preserve"> ובתנאי הכלול במידע אחר המיועד לצרכן</w:t>
      </w:r>
      <w:r w:rsidR="00A54B24" w:rsidRPr="007123AB">
        <w:rPr>
          <w:rFonts w:cs="David"/>
          <w:sz w:val="24"/>
          <w:szCs w:val="24"/>
          <w:rtl/>
        </w:rPr>
        <w:t>), תשנ"ה</w:t>
      </w:r>
      <w:r w:rsidR="00A54B24" w:rsidRPr="007123AB">
        <w:rPr>
          <w:rFonts w:cs="David" w:hint="cs"/>
          <w:sz w:val="24"/>
          <w:szCs w:val="24"/>
          <w:rtl/>
        </w:rPr>
        <w:t>-</w:t>
      </w:r>
      <w:r w:rsidR="00A54B24" w:rsidRPr="007123AB">
        <w:rPr>
          <w:rFonts w:cs="David"/>
          <w:sz w:val="24"/>
          <w:szCs w:val="24"/>
          <w:rtl/>
        </w:rPr>
        <w:t>1995</w:t>
      </w:r>
      <w:r w:rsidR="00A54B24" w:rsidRPr="007123AB">
        <w:rPr>
          <w:rFonts w:cs="David" w:hint="cs"/>
          <w:sz w:val="24"/>
          <w:szCs w:val="24"/>
          <w:rtl/>
        </w:rPr>
        <w:t xml:space="preserve"> נקבע בסע' 2א כך: "</w:t>
      </w:r>
      <w:r w:rsidR="00A54B24" w:rsidRPr="007123AB">
        <w:rPr>
          <w:rStyle w:val="default"/>
          <w:rFonts w:cs="David"/>
          <w:sz w:val="24"/>
          <w:szCs w:val="24"/>
          <w:rtl/>
        </w:rPr>
        <w:t>ג</w:t>
      </w:r>
      <w:r w:rsidR="00A54B24" w:rsidRPr="007123AB">
        <w:rPr>
          <w:rStyle w:val="default"/>
          <w:rFonts w:cs="David" w:hint="cs"/>
          <w:sz w:val="24"/>
          <w:szCs w:val="24"/>
          <w:rtl/>
        </w:rPr>
        <w:t>ודלן המזערי של האותיות בתנאי הכלול במידע אחר המיועד לצרכן יהיה 30 אחוזים מגודל האותיות הגדולות ביותר שבמידע האמור, אך לא יותר מגודל האותיות המהוות את תוכן המידע, ולעניין מ</w:t>
      </w:r>
      <w:r w:rsidR="008317E7" w:rsidRPr="007123AB">
        <w:rPr>
          <w:rStyle w:val="default"/>
          <w:rFonts w:cs="David" w:hint="cs"/>
          <w:sz w:val="24"/>
          <w:szCs w:val="24"/>
          <w:rtl/>
        </w:rPr>
        <w:t>יד</w:t>
      </w:r>
      <w:r w:rsidR="00A54B24" w:rsidRPr="007123AB">
        <w:rPr>
          <w:rStyle w:val="default"/>
          <w:rFonts w:cs="David" w:hint="cs"/>
          <w:sz w:val="24"/>
          <w:szCs w:val="24"/>
          <w:rtl/>
        </w:rPr>
        <w:t xml:space="preserve">ע אחר שאינו מופיע במדיה אלקטרונית </w:t>
      </w:r>
      <w:r w:rsidR="00A54B24" w:rsidRPr="007123AB">
        <w:rPr>
          <w:rStyle w:val="default"/>
          <w:rFonts w:cs="David"/>
          <w:sz w:val="24"/>
          <w:szCs w:val="24"/>
          <w:rtl/>
        </w:rPr>
        <w:t>–</w:t>
      </w:r>
      <w:r w:rsidR="00A54B24" w:rsidRPr="007123AB">
        <w:rPr>
          <w:rStyle w:val="default"/>
          <w:rFonts w:cs="David" w:hint="cs"/>
          <w:sz w:val="24"/>
          <w:szCs w:val="24"/>
          <w:rtl/>
        </w:rPr>
        <w:t xml:space="preserve"> בכל מקרה לא פחות מ-2 מילימטרים</w:t>
      </w:r>
      <w:r w:rsidR="00A54B24" w:rsidRPr="007123AB">
        <w:rPr>
          <w:rFonts w:cs="David" w:hint="cs"/>
          <w:sz w:val="24"/>
          <w:szCs w:val="24"/>
          <w:rtl/>
        </w:rPr>
        <w:t>".</w:t>
      </w:r>
    </w:p>
    <w:p w:rsidR="00A54B24" w:rsidRDefault="00A54B24" w:rsidP="00D8792D">
      <w:pPr>
        <w:pStyle w:val="big-header"/>
        <w:ind w:left="793" w:right="1134"/>
        <w:jc w:val="both"/>
        <w:rPr>
          <w:rFonts w:cs="David"/>
          <w:sz w:val="24"/>
          <w:szCs w:val="24"/>
          <w:rtl/>
        </w:rPr>
      </w:pPr>
      <w:r>
        <w:rPr>
          <w:rFonts w:cs="David" w:hint="cs"/>
          <w:sz w:val="24"/>
          <w:szCs w:val="24"/>
          <w:rtl/>
        </w:rPr>
        <w:t xml:space="preserve">מה מבין ההיגדים הבאים </w:t>
      </w:r>
      <w:r w:rsidRPr="00EF52CE">
        <w:rPr>
          <w:rFonts w:cs="David" w:hint="cs"/>
          <w:b/>
          <w:bCs/>
          <w:sz w:val="24"/>
          <w:szCs w:val="24"/>
          <w:rtl/>
        </w:rPr>
        <w:t>אינו</w:t>
      </w:r>
      <w:r>
        <w:rPr>
          <w:rFonts w:cs="David" w:hint="cs"/>
          <w:sz w:val="24"/>
          <w:szCs w:val="24"/>
          <w:rtl/>
        </w:rPr>
        <w:t xml:space="preserve"> נכון:</w:t>
      </w:r>
    </w:p>
    <w:p w:rsidR="008317E7" w:rsidRPr="008317E7" w:rsidRDefault="008317E7" w:rsidP="00B809E7">
      <w:pPr>
        <w:pStyle w:val="big-header"/>
        <w:numPr>
          <w:ilvl w:val="0"/>
          <w:numId w:val="17"/>
        </w:numPr>
        <w:tabs>
          <w:tab w:val="clear" w:pos="624"/>
          <w:tab w:val="left" w:pos="793"/>
        </w:tabs>
        <w:spacing w:before="0" w:after="0"/>
        <w:ind w:right="1134"/>
        <w:jc w:val="both"/>
        <w:rPr>
          <w:rFonts w:cs="David"/>
          <w:sz w:val="24"/>
          <w:szCs w:val="24"/>
          <w:highlight w:val="yellow"/>
        </w:rPr>
      </w:pPr>
      <w:r w:rsidRPr="008317E7">
        <w:rPr>
          <w:rFonts w:cs="David" w:hint="cs"/>
          <w:sz w:val="24"/>
          <w:szCs w:val="24"/>
          <w:highlight w:val="yellow"/>
          <w:rtl/>
        </w:rPr>
        <w:t xml:space="preserve">התקנות </w:t>
      </w:r>
      <w:r>
        <w:rPr>
          <w:rFonts w:cs="David" w:hint="cs"/>
          <w:sz w:val="24"/>
          <w:szCs w:val="24"/>
          <w:highlight w:val="yellow"/>
          <w:rtl/>
        </w:rPr>
        <w:t xml:space="preserve">נוקטות באמצעי </w:t>
      </w:r>
      <w:r w:rsidR="00A54B24" w:rsidRPr="008317E7">
        <w:rPr>
          <w:rFonts w:cs="David" w:hint="cs"/>
          <w:sz w:val="24"/>
          <w:szCs w:val="24"/>
          <w:highlight w:val="yellow"/>
          <w:rtl/>
        </w:rPr>
        <w:t>רגולציה מסוג של גילוי</w:t>
      </w:r>
      <w:r>
        <w:rPr>
          <w:rFonts w:cs="David" w:hint="cs"/>
          <w:sz w:val="24"/>
          <w:szCs w:val="24"/>
          <w:highlight w:val="yellow"/>
          <w:rtl/>
        </w:rPr>
        <w:t xml:space="preserve">, </w:t>
      </w:r>
      <w:r w:rsidR="00B809E7">
        <w:rPr>
          <w:rFonts w:cs="David" w:hint="cs"/>
          <w:sz w:val="24"/>
          <w:szCs w:val="24"/>
          <w:highlight w:val="yellow"/>
          <w:rtl/>
        </w:rPr>
        <w:t xml:space="preserve">ואינן קובעות הסדרה של תוכן. </w:t>
      </w:r>
    </w:p>
    <w:p w:rsidR="008317E7" w:rsidRDefault="008317E7" w:rsidP="00D8792D">
      <w:pPr>
        <w:pStyle w:val="big-header"/>
        <w:numPr>
          <w:ilvl w:val="0"/>
          <w:numId w:val="17"/>
        </w:numPr>
        <w:tabs>
          <w:tab w:val="clear" w:pos="624"/>
          <w:tab w:val="left" w:pos="793"/>
        </w:tabs>
        <w:spacing w:before="0" w:after="0"/>
        <w:ind w:right="1134"/>
        <w:jc w:val="both"/>
        <w:rPr>
          <w:rFonts w:cs="David"/>
          <w:sz w:val="24"/>
          <w:szCs w:val="24"/>
        </w:rPr>
      </w:pPr>
      <w:r>
        <w:rPr>
          <w:rFonts w:cs="David" w:hint="cs"/>
          <w:sz w:val="24"/>
          <w:szCs w:val="24"/>
          <w:rtl/>
        </w:rPr>
        <w:t xml:space="preserve">קיים כשל שוק מסוג של "פער בידע" בין הצדדים המחייב התערבות רגולטורית מפורטת. </w:t>
      </w:r>
    </w:p>
    <w:p w:rsidR="008317E7" w:rsidRDefault="008317E7" w:rsidP="00D8792D">
      <w:pPr>
        <w:pStyle w:val="big-header"/>
        <w:numPr>
          <w:ilvl w:val="0"/>
          <w:numId w:val="17"/>
        </w:numPr>
        <w:tabs>
          <w:tab w:val="clear" w:pos="624"/>
          <w:tab w:val="left" w:pos="793"/>
        </w:tabs>
        <w:spacing w:before="0" w:after="0"/>
        <w:ind w:right="1134"/>
        <w:jc w:val="both"/>
        <w:rPr>
          <w:rFonts w:cs="David"/>
          <w:sz w:val="24"/>
          <w:szCs w:val="24"/>
        </w:rPr>
      </w:pPr>
      <w:r>
        <w:rPr>
          <w:rFonts w:cs="David" w:hint="cs"/>
          <w:sz w:val="24"/>
          <w:szCs w:val="24"/>
          <w:rtl/>
        </w:rPr>
        <w:t xml:space="preserve">חוזה אחיד מחייב התערבות רגולטורית מפורטת בגלל פערי הכוח בין הצדדים. </w:t>
      </w:r>
    </w:p>
    <w:p w:rsidR="008317E7" w:rsidRPr="008317E7" w:rsidRDefault="008317E7" w:rsidP="00D8792D">
      <w:pPr>
        <w:pStyle w:val="big-header"/>
        <w:numPr>
          <w:ilvl w:val="0"/>
          <w:numId w:val="17"/>
        </w:numPr>
        <w:tabs>
          <w:tab w:val="clear" w:pos="624"/>
          <w:tab w:val="left" w:pos="793"/>
        </w:tabs>
        <w:spacing w:before="0" w:after="0"/>
        <w:ind w:right="1134"/>
        <w:jc w:val="both"/>
        <w:rPr>
          <w:rFonts w:cs="David"/>
          <w:sz w:val="24"/>
          <w:szCs w:val="24"/>
          <w:rtl/>
        </w:rPr>
      </w:pPr>
      <w:r>
        <w:rPr>
          <w:rFonts w:cs="David" w:hint="cs"/>
          <w:sz w:val="24"/>
          <w:szCs w:val="24"/>
          <w:rtl/>
        </w:rPr>
        <w:t>מדובר ברגולציה שיש לה הצדקה כלכלית והצדקה חברתית</w:t>
      </w:r>
    </w:p>
    <w:p w:rsidR="00A54B24" w:rsidRDefault="00A54B24" w:rsidP="00D8792D">
      <w:pPr>
        <w:pStyle w:val="big-header"/>
        <w:spacing w:before="0" w:after="0"/>
        <w:ind w:left="0" w:right="1134"/>
        <w:jc w:val="both"/>
        <w:rPr>
          <w:rFonts w:cs="David"/>
          <w:sz w:val="24"/>
          <w:szCs w:val="24"/>
          <w:rtl/>
        </w:rPr>
      </w:pPr>
    </w:p>
    <w:p w:rsidR="002000AC" w:rsidRDefault="00FF519B" w:rsidP="00D8792D">
      <w:pPr>
        <w:pStyle w:val="P00"/>
        <w:numPr>
          <w:ilvl w:val="0"/>
          <w:numId w:val="14"/>
        </w:numPr>
        <w:tabs>
          <w:tab w:val="clear" w:pos="1021"/>
          <w:tab w:val="clear" w:pos="2835"/>
          <w:tab w:val="left" w:pos="651"/>
        </w:tabs>
        <w:spacing w:before="72"/>
        <w:ind w:left="651" w:right="1134" w:hanging="425"/>
        <w:rPr>
          <w:rStyle w:val="default"/>
          <w:rFonts w:cs="David"/>
          <w:szCs w:val="24"/>
        </w:rPr>
      </w:pPr>
      <w:r>
        <w:rPr>
          <w:rStyle w:val="default"/>
          <w:rFonts w:cs="David" w:hint="cs"/>
          <w:szCs w:val="24"/>
          <w:rtl/>
        </w:rPr>
        <w:t xml:space="preserve">ארגון </w:t>
      </w:r>
      <w:r>
        <w:rPr>
          <w:rStyle w:val="default"/>
          <w:rFonts w:cs="David" w:hint="cs"/>
          <w:szCs w:val="24"/>
        </w:rPr>
        <w:t>FATF</w:t>
      </w:r>
      <w:r>
        <w:rPr>
          <w:rStyle w:val="default"/>
          <w:rFonts w:cs="David" w:hint="cs"/>
          <w:szCs w:val="24"/>
          <w:rtl/>
        </w:rPr>
        <w:t xml:space="preserve"> </w:t>
      </w:r>
      <w:r>
        <w:rPr>
          <w:rStyle w:val="default"/>
          <w:rFonts w:cs="David"/>
          <w:szCs w:val="24"/>
          <w:rtl/>
        </w:rPr>
        <w:t>–</w:t>
      </w:r>
      <w:r>
        <w:rPr>
          <w:rStyle w:val="default"/>
          <w:rFonts w:cs="David" w:hint="cs"/>
          <w:szCs w:val="24"/>
          <w:rtl/>
        </w:rPr>
        <w:t xml:space="preserve"> </w:t>
      </w:r>
      <w:r>
        <w:rPr>
          <w:rStyle w:val="default"/>
          <w:rFonts w:cs="David"/>
          <w:szCs w:val="24"/>
        </w:rPr>
        <w:t>Financial Action Task Force</w:t>
      </w:r>
      <w:r>
        <w:rPr>
          <w:rStyle w:val="default"/>
          <w:rFonts w:cs="David" w:hint="cs"/>
          <w:szCs w:val="24"/>
          <w:rtl/>
        </w:rPr>
        <w:t xml:space="preserve"> </w:t>
      </w:r>
      <w:r>
        <w:rPr>
          <w:rStyle w:val="default"/>
          <w:rFonts w:cs="David"/>
          <w:szCs w:val="24"/>
          <w:rtl/>
        </w:rPr>
        <w:t>–</w:t>
      </w:r>
      <w:r>
        <w:rPr>
          <w:rStyle w:val="default"/>
          <w:rFonts w:cs="David" w:hint="cs"/>
          <w:szCs w:val="24"/>
          <w:rtl/>
        </w:rPr>
        <w:t xml:space="preserve"> הוקם על ידי מספר מדינות על מנת להיאבק בהלבנת הון. לא מדובר בארגון </w:t>
      </w:r>
      <w:r w:rsidR="002000AC">
        <w:rPr>
          <w:rStyle w:val="default"/>
          <w:rFonts w:cs="David" w:hint="cs"/>
          <w:szCs w:val="24"/>
          <w:rtl/>
        </w:rPr>
        <w:t xml:space="preserve">של </w:t>
      </w:r>
      <w:r>
        <w:rPr>
          <w:rStyle w:val="default"/>
          <w:rFonts w:cs="David" w:hint="cs"/>
          <w:szCs w:val="24"/>
          <w:rtl/>
        </w:rPr>
        <w:t xml:space="preserve">האו"מ, אלא בארגון הפועל מטעם </w:t>
      </w:r>
      <w:r w:rsidR="003754E1">
        <w:rPr>
          <w:rStyle w:val="default"/>
          <w:rFonts w:cs="David" w:hint="cs"/>
          <w:szCs w:val="24"/>
          <w:rtl/>
        </w:rPr>
        <w:t>ה</w:t>
      </w:r>
      <w:r>
        <w:rPr>
          <w:rStyle w:val="default"/>
          <w:rFonts w:cs="David" w:hint="cs"/>
          <w:szCs w:val="24"/>
          <w:rtl/>
        </w:rPr>
        <w:t xml:space="preserve">ממשלות שהקימו אותו. הארגון פועל </w:t>
      </w:r>
      <w:r w:rsidR="002000AC">
        <w:rPr>
          <w:rStyle w:val="default"/>
          <w:rFonts w:cs="David" w:hint="cs"/>
          <w:szCs w:val="24"/>
          <w:rtl/>
        </w:rPr>
        <w:t xml:space="preserve">להצבת </w:t>
      </w:r>
      <w:r>
        <w:rPr>
          <w:rStyle w:val="default"/>
          <w:rFonts w:cs="David" w:hint="cs"/>
          <w:szCs w:val="24"/>
          <w:rtl/>
        </w:rPr>
        <w:t xml:space="preserve">סטנדרטים בתחום המאבק בהלבנת הון, ובין היתר נקבעו בו הוראות מיוחדות שיחולו על עורכי דין כאשר מתעורר בפניהם חשד שהלקוח </w:t>
      </w:r>
      <w:r w:rsidR="003754E1">
        <w:rPr>
          <w:rStyle w:val="default"/>
          <w:rFonts w:cs="David" w:hint="cs"/>
          <w:szCs w:val="24"/>
          <w:rtl/>
        </w:rPr>
        <w:t>ש</w:t>
      </w:r>
      <w:r>
        <w:rPr>
          <w:rStyle w:val="default"/>
          <w:rFonts w:cs="David" w:hint="cs"/>
          <w:szCs w:val="24"/>
          <w:rtl/>
        </w:rPr>
        <w:t xml:space="preserve">אותו הם מייצגים מבצע פעולה של הלבנת הון. </w:t>
      </w:r>
    </w:p>
    <w:p w:rsidR="00FF519B" w:rsidRDefault="00FF519B" w:rsidP="00D8792D">
      <w:pPr>
        <w:pStyle w:val="P00"/>
        <w:tabs>
          <w:tab w:val="clear" w:pos="1021"/>
          <w:tab w:val="clear" w:pos="2835"/>
          <w:tab w:val="left" w:pos="651"/>
        </w:tabs>
        <w:spacing w:before="72"/>
        <w:ind w:left="651" w:right="1134"/>
        <w:rPr>
          <w:rStyle w:val="default"/>
          <w:rFonts w:cs="David"/>
          <w:szCs w:val="24"/>
        </w:rPr>
      </w:pPr>
      <w:r>
        <w:rPr>
          <w:rStyle w:val="default"/>
          <w:rFonts w:cs="David" w:hint="cs"/>
          <w:szCs w:val="24"/>
          <w:rtl/>
        </w:rPr>
        <w:t xml:space="preserve">ארגון </w:t>
      </w:r>
      <w:r>
        <w:rPr>
          <w:rStyle w:val="default"/>
          <w:rFonts w:cs="David" w:hint="cs"/>
          <w:szCs w:val="24"/>
        </w:rPr>
        <w:t>FATF</w:t>
      </w:r>
      <w:r>
        <w:rPr>
          <w:rStyle w:val="default"/>
          <w:rFonts w:cs="David" w:hint="cs"/>
          <w:szCs w:val="24"/>
          <w:rtl/>
        </w:rPr>
        <w:t xml:space="preserve"> פנה לממשלת ישראל וביקש ממנה לקדם חקיקה</w:t>
      </w:r>
      <w:r w:rsidR="002000AC">
        <w:rPr>
          <w:rStyle w:val="default"/>
          <w:rFonts w:cs="David" w:hint="cs"/>
          <w:szCs w:val="24"/>
          <w:rtl/>
        </w:rPr>
        <w:t>, ש</w:t>
      </w:r>
      <w:r>
        <w:rPr>
          <w:rStyle w:val="default"/>
          <w:rFonts w:cs="David" w:hint="cs"/>
          <w:szCs w:val="24"/>
          <w:rtl/>
        </w:rPr>
        <w:t>תטיל על עורכי דין חובות מוגב</w:t>
      </w:r>
      <w:r w:rsidR="003754E1">
        <w:rPr>
          <w:rStyle w:val="default"/>
          <w:rFonts w:cs="David" w:hint="cs"/>
          <w:szCs w:val="24"/>
          <w:rtl/>
        </w:rPr>
        <w:t>רים</w:t>
      </w:r>
      <w:r>
        <w:rPr>
          <w:rStyle w:val="default"/>
          <w:rFonts w:cs="David" w:hint="cs"/>
          <w:szCs w:val="24"/>
          <w:rtl/>
        </w:rPr>
        <w:t xml:space="preserve"> בתחום הלבנת הון. לאחר דין ודברים שנמשך ארבע שנים, חוקקה הכנסת תיקון לחוק הלבנת הון ובו נקבעו הוראות בדבר חובת עורכי הדין להעריך את מידת הסיכון הנובעת מפעולת הלקוח, אך לא נקבעו בו חובות דיווח, כדרישת </w:t>
      </w:r>
      <w:r>
        <w:rPr>
          <w:rStyle w:val="default"/>
          <w:rFonts w:cs="David" w:hint="cs"/>
          <w:szCs w:val="24"/>
        </w:rPr>
        <w:t>FATF</w:t>
      </w:r>
      <w:r>
        <w:rPr>
          <w:rStyle w:val="default"/>
          <w:rFonts w:cs="David" w:hint="cs"/>
          <w:szCs w:val="24"/>
          <w:rtl/>
        </w:rPr>
        <w:t xml:space="preserve"> </w:t>
      </w:r>
      <w:r>
        <w:rPr>
          <w:rStyle w:val="default"/>
          <w:rFonts w:cs="David"/>
          <w:szCs w:val="24"/>
          <w:rtl/>
        </w:rPr>
        <w:t>–</w:t>
      </w:r>
      <w:r>
        <w:rPr>
          <w:rStyle w:val="default"/>
          <w:rFonts w:cs="David" w:hint="cs"/>
          <w:szCs w:val="24"/>
          <w:rtl/>
        </w:rPr>
        <w:t xml:space="preserve"> בגלל התנגדות לשכת עורכי הדין בישראל. </w:t>
      </w:r>
    </w:p>
    <w:p w:rsidR="00A54B24" w:rsidRDefault="00FF519B" w:rsidP="00D8792D">
      <w:pPr>
        <w:pStyle w:val="P00"/>
        <w:tabs>
          <w:tab w:val="clear" w:pos="1021"/>
          <w:tab w:val="clear" w:pos="2835"/>
          <w:tab w:val="left" w:pos="651"/>
        </w:tabs>
        <w:spacing w:before="72"/>
        <w:ind w:left="651" w:right="1134"/>
        <w:rPr>
          <w:rStyle w:val="default"/>
          <w:rFonts w:cs="David"/>
          <w:szCs w:val="24"/>
        </w:rPr>
      </w:pPr>
      <w:r>
        <w:rPr>
          <w:rStyle w:val="default"/>
          <w:rFonts w:cs="David" w:hint="cs"/>
          <w:szCs w:val="24"/>
          <w:rtl/>
        </w:rPr>
        <w:t>תהליך זה מייצג:</w:t>
      </w:r>
    </w:p>
    <w:p w:rsidR="00FF519B" w:rsidRDefault="00FF519B" w:rsidP="00D8792D">
      <w:pPr>
        <w:pStyle w:val="P00"/>
        <w:numPr>
          <w:ilvl w:val="0"/>
          <w:numId w:val="18"/>
        </w:numPr>
        <w:tabs>
          <w:tab w:val="clear" w:pos="1021"/>
          <w:tab w:val="clear" w:pos="2835"/>
          <w:tab w:val="left" w:pos="651"/>
        </w:tabs>
        <w:spacing w:before="72"/>
        <w:ind w:right="1134"/>
        <w:rPr>
          <w:rStyle w:val="default"/>
          <w:rFonts w:cs="David"/>
          <w:szCs w:val="24"/>
        </w:rPr>
      </w:pPr>
      <w:r>
        <w:rPr>
          <w:rStyle w:val="default"/>
          <w:rFonts w:cs="David" w:hint="cs"/>
          <w:szCs w:val="24"/>
          <w:rtl/>
        </w:rPr>
        <w:t>את התחזקות השפעת המשפט הבינלאומי על חקיקה מדינתית.</w:t>
      </w:r>
    </w:p>
    <w:p w:rsidR="00FF519B" w:rsidRDefault="00FF519B" w:rsidP="00D8792D">
      <w:pPr>
        <w:pStyle w:val="P00"/>
        <w:numPr>
          <w:ilvl w:val="0"/>
          <w:numId w:val="18"/>
        </w:numPr>
        <w:tabs>
          <w:tab w:val="clear" w:pos="1021"/>
          <w:tab w:val="clear" w:pos="2835"/>
          <w:tab w:val="left" w:pos="651"/>
        </w:tabs>
        <w:spacing w:before="72"/>
        <w:ind w:right="1134"/>
        <w:rPr>
          <w:rStyle w:val="default"/>
          <w:rFonts w:cs="David"/>
          <w:szCs w:val="24"/>
        </w:rPr>
      </w:pPr>
      <w:r>
        <w:rPr>
          <w:rStyle w:val="default"/>
          <w:rFonts w:cs="David" w:hint="cs"/>
          <w:szCs w:val="24"/>
          <w:rtl/>
        </w:rPr>
        <w:t>את חשיבות המאבק בהלבנת הון בזירה הגלובלית.</w:t>
      </w:r>
    </w:p>
    <w:p w:rsidR="00FF519B" w:rsidRPr="00FF519B" w:rsidRDefault="00FF519B" w:rsidP="00D8792D">
      <w:pPr>
        <w:pStyle w:val="P00"/>
        <w:numPr>
          <w:ilvl w:val="0"/>
          <w:numId w:val="18"/>
        </w:numPr>
        <w:tabs>
          <w:tab w:val="clear" w:pos="1021"/>
          <w:tab w:val="clear" w:pos="2835"/>
          <w:tab w:val="left" w:pos="651"/>
        </w:tabs>
        <w:spacing w:before="72"/>
        <w:ind w:right="1134"/>
        <w:rPr>
          <w:rStyle w:val="default"/>
          <w:rFonts w:cs="David"/>
          <w:szCs w:val="24"/>
          <w:highlight w:val="yellow"/>
        </w:rPr>
      </w:pPr>
      <w:r w:rsidRPr="00FF519B">
        <w:rPr>
          <w:rStyle w:val="default"/>
          <w:rFonts w:cs="David" w:hint="cs"/>
          <w:szCs w:val="24"/>
          <w:highlight w:val="yellow"/>
          <w:rtl/>
        </w:rPr>
        <w:t>הפנמה של רגולציה על-לאומית ברמה המדינתית</w:t>
      </w:r>
    </w:p>
    <w:p w:rsidR="00FF519B" w:rsidRDefault="00FF519B" w:rsidP="00D8792D">
      <w:pPr>
        <w:pStyle w:val="P00"/>
        <w:numPr>
          <w:ilvl w:val="0"/>
          <w:numId w:val="18"/>
        </w:numPr>
        <w:tabs>
          <w:tab w:val="clear" w:pos="1021"/>
          <w:tab w:val="clear" w:pos="2835"/>
          <w:tab w:val="left" w:pos="651"/>
        </w:tabs>
        <w:spacing w:before="72"/>
        <w:ind w:right="1134"/>
        <w:rPr>
          <w:rStyle w:val="default"/>
          <w:rFonts w:cs="David"/>
          <w:szCs w:val="24"/>
        </w:rPr>
      </w:pPr>
      <w:r>
        <w:rPr>
          <w:rStyle w:val="default"/>
          <w:rFonts w:cs="David" w:hint="cs"/>
          <w:szCs w:val="24"/>
          <w:rtl/>
        </w:rPr>
        <w:t xml:space="preserve">את יעילותה של רגולציה פנימית של לשכת עורכי הדין בישראל. </w:t>
      </w:r>
    </w:p>
    <w:p w:rsidR="00FF519B" w:rsidRPr="00575BC4" w:rsidRDefault="00FF519B" w:rsidP="00D8792D">
      <w:pPr>
        <w:pStyle w:val="P00"/>
        <w:tabs>
          <w:tab w:val="clear" w:pos="1021"/>
          <w:tab w:val="clear" w:pos="2835"/>
          <w:tab w:val="left" w:pos="651"/>
        </w:tabs>
        <w:spacing w:before="72"/>
        <w:ind w:left="646" w:right="1134"/>
        <w:rPr>
          <w:rStyle w:val="default"/>
          <w:rFonts w:cs="David"/>
          <w:szCs w:val="24"/>
          <w:rtl/>
        </w:rPr>
      </w:pPr>
      <w:r>
        <w:rPr>
          <w:rStyle w:val="default"/>
          <w:rFonts w:cs="David" w:hint="cs"/>
          <w:szCs w:val="24"/>
          <w:rtl/>
        </w:rPr>
        <w:t xml:space="preserve"> </w:t>
      </w:r>
    </w:p>
    <w:p w:rsidR="00575BC4" w:rsidRDefault="00FF519B" w:rsidP="00D8792D">
      <w:pPr>
        <w:pStyle w:val="a3"/>
        <w:numPr>
          <w:ilvl w:val="0"/>
          <w:numId w:val="14"/>
        </w:numPr>
        <w:ind w:right="709" w:hanging="778"/>
        <w:jc w:val="both"/>
        <w:rPr>
          <w:rFonts w:cs="David"/>
          <w:sz w:val="24"/>
          <w:szCs w:val="24"/>
        </w:rPr>
      </w:pPr>
      <w:r w:rsidRPr="00FF519B">
        <w:rPr>
          <w:rFonts w:cs="David" w:hint="cs"/>
          <w:sz w:val="24"/>
          <w:szCs w:val="24"/>
          <w:rtl/>
        </w:rPr>
        <w:t>במסגרת התנגדותה של לשכת עורכי הדין לחקיקה שתוארה בשאלה 3, היא קיבלה על עצמה ל</w:t>
      </w:r>
      <w:r w:rsidR="003754E1">
        <w:rPr>
          <w:rFonts w:cs="David" w:hint="cs"/>
          <w:sz w:val="24"/>
          <w:szCs w:val="24"/>
          <w:rtl/>
        </w:rPr>
        <w:t>הגדיר ע</w:t>
      </w:r>
      <w:r w:rsidRPr="00FF519B">
        <w:rPr>
          <w:rFonts w:cs="David" w:hint="cs"/>
          <w:sz w:val="24"/>
          <w:szCs w:val="24"/>
          <w:rtl/>
        </w:rPr>
        <w:t xml:space="preserve">בירת משמעת חדשה, לפיה אסור לעורכי דין לקבל על עצמם </w:t>
      </w:r>
      <w:r w:rsidR="003754E1">
        <w:rPr>
          <w:rFonts w:cs="David" w:hint="cs"/>
          <w:sz w:val="24"/>
          <w:szCs w:val="24"/>
          <w:rtl/>
        </w:rPr>
        <w:t xml:space="preserve">ייצוג </w:t>
      </w:r>
      <w:r w:rsidRPr="00FF519B">
        <w:rPr>
          <w:rFonts w:cs="David" w:hint="cs"/>
          <w:sz w:val="24"/>
          <w:szCs w:val="24"/>
          <w:rtl/>
        </w:rPr>
        <w:t>או להמשיך בייצוג</w:t>
      </w:r>
      <w:r w:rsidR="003754E1">
        <w:rPr>
          <w:rFonts w:cs="David" w:hint="cs"/>
          <w:sz w:val="24"/>
          <w:szCs w:val="24"/>
          <w:rtl/>
        </w:rPr>
        <w:t>,</w:t>
      </w:r>
      <w:r w:rsidRPr="00FF519B">
        <w:rPr>
          <w:rFonts w:cs="David" w:hint="cs"/>
          <w:sz w:val="24"/>
          <w:szCs w:val="24"/>
          <w:rtl/>
        </w:rPr>
        <w:t xml:space="preserve"> בנסיבות בהן עולה חשד </w:t>
      </w:r>
      <w:r>
        <w:rPr>
          <w:rFonts w:cs="David" w:hint="cs"/>
          <w:sz w:val="24"/>
          <w:szCs w:val="24"/>
          <w:rtl/>
        </w:rPr>
        <w:t>שה</w:t>
      </w:r>
      <w:r w:rsidRPr="00FF519B">
        <w:rPr>
          <w:rFonts w:cs="David" w:hint="cs"/>
          <w:sz w:val="24"/>
          <w:szCs w:val="24"/>
          <w:rtl/>
        </w:rPr>
        <w:t xml:space="preserve">לקוח מבצע הלבנת הון. </w:t>
      </w:r>
      <w:r>
        <w:rPr>
          <w:rFonts w:cs="David" w:hint="cs"/>
          <w:sz w:val="24"/>
          <w:szCs w:val="24"/>
          <w:rtl/>
        </w:rPr>
        <w:t xml:space="preserve">כללי האתיקה של הלשכה </w:t>
      </w:r>
      <w:r>
        <w:rPr>
          <w:rFonts w:cs="David"/>
          <w:sz w:val="24"/>
          <w:szCs w:val="24"/>
          <w:rtl/>
        </w:rPr>
        <w:t>–</w:t>
      </w:r>
      <w:r>
        <w:rPr>
          <w:rFonts w:cs="David" w:hint="cs"/>
          <w:sz w:val="24"/>
          <w:szCs w:val="24"/>
          <w:rtl/>
        </w:rPr>
        <w:t xml:space="preserve"> המגדירים מהן עבירות משמעת </w:t>
      </w:r>
      <w:r>
        <w:rPr>
          <w:rFonts w:cs="David"/>
          <w:sz w:val="24"/>
          <w:szCs w:val="24"/>
          <w:rtl/>
        </w:rPr>
        <w:t>–</w:t>
      </w:r>
      <w:r>
        <w:rPr>
          <w:rFonts w:cs="David" w:hint="cs"/>
          <w:sz w:val="24"/>
          <w:szCs w:val="24"/>
          <w:rtl/>
        </w:rPr>
        <w:t xml:space="preserve"> תוקנו בהתאם. מהלך זה מהווה</w:t>
      </w:r>
      <w:r w:rsidR="00F21B16">
        <w:rPr>
          <w:rFonts w:cs="David" w:hint="cs"/>
          <w:sz w:val="24"/>
          <w:szCs w:val="24"/>
          <w:rtl/>
        </w:rPr>
        <w:t xml:space="preserve">: </w:t>
      </w:r>
    </w:p>
    <w:p w:rsidR="00F21B16" w:rsidRDefault="00F21B16" w:rsidP="00D8792D">
      <w:pPr>
        <w:pStyle w:val="a3"/>
        <w:jc w:val="both"/>
        <w:rPr>
          <w:rFonts w:cs="David"/>
          <w:sz w:val="24"/>
          <w:szCs w:val="24"/>
        </w:rPr>
      </w:pPr>
    </w:p>
    <w:p w:rsidR="00FF519B" w:rsidRPr="00FF519B" w:rsidRDefault="00FF519B" w:rsidP="00D8792D">
      <w:pPr>
        <w:pStyle w:val="a3"/>
        <w:numPr>
          <w:ilvl w:val="0"/>
          <w:numId w:val="19"/>
        </w:numPr>
        <w:jc w:val="both"/>
        <w:rPr>
          <w:rFonts w:cs="David"/>
          <w:sz w:val="24"/>
          <w:szCs w:val="24"/>
          <w:rtl/>
        </w:rPr>
      </w:pPr>
      <w:r w:rsidRPr="00FF519B">
        <w:rPr>
          <w:rFonts w:cs="David" w:hint="cs"/>
          <w:sz w:val="24"/>
          <w:szCs w:val="24"/>
          <w:rtl/>
        </w:rPr>
        <w:t>רגולציה וולונטרית של ארגון מקצועי</w:t>
      </w:r>
    </w:p>
    <w:p w:rsidR="00FF519B" w:rsidRPr="00FF519B" w:rsidRDefault="00FF519B" w:rsidP="00D8792D">
      <w:pPr>
        <w:pStyle w:val="a3"/>
        <w:numPr>
          <w:ilvl w:val="0"/>
          <w:numId w:val="19"/>
        </w:numPr>
        <w:jc w:val="both"/>
        <w:rPr>
          <w:rFonts w:cs="David"/>
          <w:sz w:val="24"/>
          <w:szCs w:val="24"/>
          <w:rtl/>
        </w:rPr>
      </w:pPr>
      <w:r w:rsidRPr="00FF519B">
        <w:rPr>
          <w:rFonts w:cs="David" w:hint="cs"/>
          <w:sz w:val="24"/>
          <w:szCs w:val="24"/>
          <w:rtl/>
        </w:rPr>
        <w:t>ביטוי להיחלשותה של המדינה אל מול כוחות השוק</w:t>
      </w:r>
      <w:r w:rsidR="00A10875">
        <w:rPr>
          <w:rFonts w:cs="David" w:hint="cs"/>
          <w:sz w:val="24"/>
          <w:szCs w:val="24"/>
          <w:rtl/>
        </w:rPr>
        <w:t>, ובכלל זה עורכי דין</w:t>
      </w:r>
      <w:r w:rsidRPr="00FF519B">
        <w:rPr>
          <w:rFonts w:cs="David" w:hint="cs"/>
          <w:sz w:val="24"/>
          <w:szCs w:val="24"/>
          <w:rtl/>
        </w:rPr>
        <w:t xml:space="preserve"> </w:t>
      </w:r>
    </w:p>
    <w:p w:rsidR="00FF519B" w:rsidRPr="00FF519B" w:rsidRDefault="00FF519B" w:rsidP="00D8792D">
      <w:pPr>
        <w:pStyle w:val="a3"/>
        <w:numPr>
          <w:ilvl w:val="0"/>
          <w:numId w:val="19"/>
        </w:numPr>
        <w:jc w:val="both"/>
        <w:rPr>
          <w:rFonts w:cs="David"/>
          <w:sz w:val="24"/>
          <w:szCs w:val="24"/>
          <w:rtl/>
        </w:rPr>
      </w:pPr>
      <w:r w:rsidRPr="00FF519B">
        <w:rPr>
          <w:rFonts w:cs="David" w:hint="cs"/>
          <w:sz w:val="24"/>
          <w:szCs w:val="24"/>
          <w:rtl/>
        </w:rPr>
        <w:t xml:space="preserve">הסכם רגולטורי בין לשכת עורכי הדין לבין ממשלת ישראל ו </w:t>
      </w:r>
      <w:r w:rsidRPr="00FF519B">
        <w:rPr>
          <w:rFonts w:cs="David" w:hint="cs"/>
          <w:sz w:val="24"/>
          <w:szCs w:val="24"/>
        </w:rPr>
        <w:t>FATF</w:t>
      </w:r>
    </w:p>
    <w:p w:rsidR="00F21B16" w:rsidRPr="00F21B16" w:rsidRDefault="00F21B16" w:rsidP="00D8792D">
      <w:pPr>
        <w:pStyle w:val="a3"/>
        <w:numPr>
          <w:ilvl w:val="0"/>
          <w:numId w:val="19"/>
        </w:numPr>
        <w:jc w:val="both"/>
        <w:rPr>
          <w:rFonts w:cs="David"/>
          <w:sz w:val="24"/>
          <w:szCs w:val="24"/>
          <w:highlight w:val="yellow"/>
          <w:rtl/>
        </w:rPr>
      </w:pPr>
      <w:r w:rsidRPr="00F21B16">
        <w:rPr>
          <w:rFonts w:cs="David" w:hint="cs"/>
          <w:sz w:val="24"/>
          <w:szCs w:val="24"/>
          <w:highlight w:val="yellow"/>
          <w:rtl/>
        </w:rPr>
        <w:t>ביטוי לגישות מוסדיות המסבירות רגולציה בין היתר על בסיס כוחם ויכולתם של ארגונים ומוסדות להשפיע בתחום מסויים.</w:t>
      </w:r>
    </w:p>
    <w:p w:rsidR="00FF519B" w:rsidRPr="00FF519B" w:rsidRDefault="00FF519B" w:rsidP="00D8792D">
      <w:pPr>
        <w:jc w:val="both"/>
        <w:rPr>
          <w:rFonts w:cs="David"/>
          <w:sz w:val="24"/>
          <w:szCs w:val="24"/>
          <w:rtl/>
        </w:rPr>
      </w:pPr>
    </w:p>
    <w:p w:rsidR="003754E1" w:rsidRPr="003754E1" w:rsidRDefault="003754E1" w:rsidP="00D8792D">
      <w:pPr>
        <w:pStyle w:val="a3"/>
        <w:numPr>
          <w:ilvl w:val="0"/>
          <w:numId w:val="14"/>
        </w:numPr>
        <w:ind w:left="651" w:right="709" w:hanging="709"/>
        <w:jc w:val="both"/>
        <w:rPr>
          <w:rFonts w:cs="David"/>
          <w:sz w:val="24"/>
          <w:szCs w:val="24"/>
        </w:rPr>
      </w:pPr>
      <w:r>
        <w:rPr>
          <w:rFonts w:cs="David" w:hint="cs"/>
          <w:sz w:val="24"/>
          <w:szCs w:val="24"/>
          <w:rtl/>
        </w:rPr>
        <w:t>שני עבדה כעורכת דין בתחילת דרכה המקצועית</w:t>
      </w:r>
      <w:r w:rsidRPr="003754E1">
        <w:rPr>
          <w:rFonts w:cs="David" w:hint="cs"/>
          <w:sz w:val="24"/>
          <w:szCs w:val="24"/>
          <w:rtl/>
        </w:rPr>
        <w:t xml:space="preserve"> ברשות ל</w:t>
      </w:r>
      <w:r>
        <w:rPr>
          <w:rFonts w:cs="David" w:hint="cs"/>
          <w:sz w:val="24"/>
          <w:szCs w:val="24"/>
          <w:rtl/>
        </w:rPr>
        <w:t xml:space="preserve">הגבלים עסקיים. </w:t>
      </w:r>
      <w:r w:rsidRPr="003754E1">
        <w:rPr>
          <w:rFonts w:cs="David" w:hint="cs"/>
          <w:sz w:val="24"/>
          <w:szCs w:val="24"/>
          <w:rtl/>
        </w:rPr>
        <w:t>לאחר ש</w:t>
      </w:r>
      <w:r>
        <w:rPr>
          <w:rFonts w:cs="David" w:hint="cs"/>
          <w:sz w:val="24"/>
          <w:szCs w:val="24"/>
          <w:rtl/>
        </w:rPr>
        <w:t xml:space="preserve">צברה ניסיון מקצועי, </w:t>
      </w:r>
      <w:r w:rsidRPr="003754E1">
        <w:rPr>
          <w:rFonts w:cs="David" w:hint="cs"/>
          <w:sz w:val="24"/>
          <w:szCs w:val="24"/>
          <w:rtl/>
        </w:rPr>
        <w:t>עבר</w:t>
      </w:r>
      <w:r>
        <w:rPr>
          <w:rFonts w:cs="David" w:hint="cs"/>
          <w:sz w:val="24"/>
          <w:szCs w:val="24"/>
          <w:rtl/>
        </w:rPr>
        <w:t>ה</w:t>
      </w:r>
      <w:r w:rsidRPr="003754E1">
        <w:rPr>
          <w:rFonts w:cs="David" w:hint="cs"/>
          <w:sz w:val="24"/>
          <w:szCs w:val="24"/>
          <w:rtl/>
        </w:rPr>
        <w:t xml:space="preserve"> לעבוד באחד ממשרדי עוה"ד הגדולים בישראל, ועם הזמן נעש</w:t>
      </w:r>
      <w:r>
        <w:rPr>
          <w:rFonts w:cs="David" w:hint="cs"/>
          <w:sz w:val="24"/>
          <w:szCs w:val="24"/>
          <w:rtl/>
        </w:rPr>
        <w:t>ת</w:t>
      </w:r>
      <w:r w:rsidRPr="003754E1">
        <w:rPr>
          <w:rFonts w:cs="David" w:hint="cs"/>
          <w:sz w:val="24"/>
          <w:szCs w:val="24"/>
          <w:rtl/>
        </w:rPr>
        <w:t>ה שות</w:t>
      </w:r>
      <w:r>
        <w:rPr>
          <w:rFonts w:cs="David" w:hint="cs"/>
          <w:sz w:val="24"/>
          <w:szCs w:val="24"/>
          <w:rtl/>
        </w:rPr>
        <w:t>פה</w:t>
      </w:r>
      <w:r w:rsidRPr="003754E1">
        <w:rPr>
          <w:rFonts w:cs="David" w:hint="cs"/>
          <w:sz w:val="24"/>
          <w:szCs w:val="24"/>
          <w:rtl/>
        </w:rPr>
        <w:t xml:space="preserve"> במשרד. לאחר עשר שנות עבודה במשרד מונ</w:t>
      </w:r>
      <w:r>
        <w:rPr>
          <w:rFonts w:cs="David" w:hint="cs"/>
          <w:sz w:val="24"/>
          <w:szCs w:val="24"/>
          <w:rtl/>
        </w:rPr>
        <w:t>ת</w:t>
      </w:r>
      <w:r w:rsidRPr="003754E1">
        <w:rPr>
          <w:rFonts w:cs="David" w:hint="cs"/>
          <w:sz w:val="24"/>
          <w:szCs w:val="24"/>
          <w:rtl/>
        </w:rPr>
        <w:t xml:space="preserve">ה ליאור לראש רשות </w:t>
      </w:r>
      <w:r>
        <w:rPr>
          <w:rFonts w:cs="David" w:hint="cs"/>
          <w:sz w:val="24"/>
          <w:szCs w:val="24"/>
          <w:rtl/>
        </w:rPr>
        <w:t xml:space="preserve">להגבלים עסקיים. </w:t>
      </w:r>
      <w:r w:rsidRPr="003754E1">
        <w:rPr>
          <w:rFonts w:cs="David" w:hint="cs"/>
          <w:sz w:val="24"/>
          <w:szCs w:val="24"/>
          <w:rtl/>
        </w:rPr>
        <w:t>המקרה מתאר:</w:t>
      </w:r>
    </w:p>
    <w:p w:rsidR="003754E1" w:rsidRPr="005F02AB" w:rsidRDefault="003754E1" w:rsidP="00D8792D">
      <w:pPr>
        <w:pStyle w:val="a3"/>
        <w:numPr>
          <w:ilvl w:val="0"/>
          <w:numId w:val="3"/>
        </w:numPr>
        <w:jc w:val="both"/>
        <w:rPr>
          <w:rFonts w:cs="David"/>
          <w:sz w:val="24"/>
          <w:szCs w:val="24"/>
        </w:rPr>
      </w:pPr>
      <w:r w:rsidRPr="005F02AB">
        <w:rPr>
          <w:rFonts w:cs="David" w:hint="cs"/>
          <w:sz w:val="24"/>
          <w:szCs w:val="24"/>
          <w:rtl/>
        </w:rPr>
        <w:t>שבי רגולטורי.</w:t>
      </w:r>
    </w:p>
    <w:p w:rsidR="003754E1" w:rsidRPr="003754E1" w:rsidRDefault="003754E1" w:rsidP="00D8792D">
      <w:pPr>
        <w:pStyle w:val="a3"/>
        <w:numPr>
          <w:ilvl w:val="0"/>
          <w:numId w:val="3"/>
        </w:numPr>
        <w:jc w:val="both"/>
        <w:rPr>
          <w:rFonts w:cs="David"/>
          <w:sz w:val="24"/>
          <w:szCs w:val="24"/>
          <w:highlight w:val="yellow"/>
        </w:rPr>
      </w:pPr>
      <w:r w:rsidRPr="003754E1">
        <w:rPr>
          <w:rFonts w:cs="David" w:hint="cs"/>
          <w:sz w:val="24"/>
          <w:szCs w:val="24"/>
          <w:highlight w:val="yellow"/>
          <w:rtl/>
        </w:rPr>
        <w:t>דלת מסתובבת.</w:t>
      </w:r>
    </w:p>
    <w:p w:rsidR="003754E1" w:rsidRPr="005F02AB" w:rsidRDefault="003754E1" w:rsidP="00D8792D">
      <w:pPr>
        <w:pStyle w:val="a3"/>
        <w:numPr>
          <w:ilvl w:val="0"/>
          <w:numId w:val="3"/>
        </w:numPr>
        <w:jc w:val="both"/>
        <w:rPr>
          <w:rFonts w:cs="David"/>
          <w:sz w:val="24"/>
          <w:szCs w:val="24"/>
        </w:rPr>
      </w:pPr>
      <w:r w:rsidRPr="005F02AB">
        <w:rPr>
          <w:rFonts w:cs="David" w:hint="cs"/>
          <w:sz w:val="24"/>
          <w:szCs w:val="24"/>
          <w:rtl/>
        </w:rPr>
        <w:t>תיאוריית הפלורליזם.</w:t>
      </w:r>
    </w:p>
    <w:p w:rsidR="003754E1" w:rsidRDefault="003754E1" w:rsidP="00D8792D">
      <w:pPr>
        <w:pStyle w:val="a3"/>
        <w:numPr>
          <w:ilvl w:val="0"/>
          <w:numId w:val="3"/>
        </w:numPr>
        <w:jc w:val="both"/>
        <w:rPr>
          <w:rFonts w:cs="David"/>
          <w:sz w:val="24"/>
          <w:szCs w:val="24"/>
        </w:rPr>
      </w:pPr>
      <w:r>
        <w:rPr>
          <w:rFonts w:cs="David" w:hint="cs"/>
          <w:sz w:val="24"/>
          <w:szCs w:val="24"/>
          <w:rtl/>
        </w:rPr>
        <w:t>תיאוריית הבחירה הציבורית</w:t>
      </w:r>
    </w:p>
    <w:p w:rsidR="00511A78" w:rsidRPr="005F02AB" w:rsidRDefault="00511A78" w:rsidP="00D8792D">
      <w:pPr>
        <w:pStyle w:val="a3"/>
        <w:ind w:left="1440"/>
        <w:jc w:val="both"/>
        <w:rPr>
          <w:rFonts w:cs="David"/>
          <w:sz w:val="24"/>
          <w:szCs w:val="24"/>
        </w:rPr>
      </w:pPr>
    </w:p>
    <w:p w:rsidR="00511A78" w:rsidRPr="00511A78" w:rsidRDefault="00511A78" w:rsidP="00D8792D">
      <w:pPr>
        <w:pStyle w:val="a3"/>
        <w:numPr>
          <w:ilvl w:val="0"/>
          <w:numId w:val="14"/>
        </w:numPr>
        <w:jc w:val="both"/>
        <w:rPr>
          <w:rFonts w:cs="David"/>
          <w:sz w:val="24"/>
          <w:szCs w:val="24"/>
        </w:rPr>
      </w:pPr>
      <w:r w:rsidRPr="00511A78">
        <w:rPr>
          <w:rFonts w:cs="David" w:hint="cs"/>
          <w:sz w:val="24"/>
          <w:szCs w:val="24"/>
          <w:rtl/>
        </w:rPr>
        <w:t xml:space="preserve">איזו </w:t>
      </w:r>
      <w:r>
        <w:rPr>
          <w:rFonts w:cs="David" w:hint="cs"/>
          <w:sz w:val="24"/>
          <w:szCs w:val="24"/>
          <w:rtl/>
        </w:rPr>
        <w:t>תופעה מתרחשת בענף הכשרות בישראל</w:t>
      </w:r>
      <w:r w:rsidRPr="00511A78">
        <w:rPr>
          <w:rFonts w:cs="David" w:hint="cs"/>
          <w:sz w:val="24"/>
          <w:szCs w:val="24"/>
          <w:rtl/>
        </w:rPr>
        <w:t>?</w:t>
      </w:r>
    </w:p>
    <w:p w:rsidR="00511A78" w:rsidRDefault="00511A78" w:rsidP="00D8792D">
      <w:pPr>
        <w:pStyle w:val="a3"/>
        <w:numPr>
          <w:ilvl w:val="0"/>
          <w:numId w:val="7"/>
        </w:numPr>
        <w:jc w:val="both"/>
        <w:rPr>
          <w:rFonts w:cs="David"/>
          <w:sz w:val="24"/>
          <w:szCs w:val="24"/>
        </w:rPr>
      </w:pPr>
      <w:r>
        <w:rPr>
          <w:rFonts w:cs="David" w:hint="cs"/>
          <w:sz w:val="24"/>
          <w:szCs w:val="24"/>
          <w:rtl/>
        </w:rPr>
        <w:t xml:space="preserve">הגברת תחרות מול </w:t>
      </w:r>
      <w:r w:rsidRPr="005F02AB">
        <w:rPr>
          <w:rFonts w:cs="David" w:hint="cs"/>
          <w:sz w:val="24"/>
          <w:szCs w:val="24"/>
          <w:rtl/>
        </w:rPr>
        <w:t>מונופול</w:t>
      </w:r>
      <w:r>
        <w:rPr>
          <w:rFonts w:cs="David" w:hint="cs"/>
          <w:sz w:val="24"/>
          <w:szCs w:val="24"/>
          <w:rtl/>
        </w:rPr>
        <w:t xml:space="preserve"> וותיק</w:t>
      </w:r>
    </w:p>
    <w:p w:rsidR="00511A78" w:rsidRPr="0014627E" w:rsidRDefault="00511A78" w:rsidP="00D8792D">
      <w:pPr>
        <w:pStyle w:val="a3"/>
        <w:numPr>
          <w:ilvl w:val="0"/>
          <w:numId w:val="7"/>
        </w:numPr>
        <w:jc w:val="both"/>
        <w:rPr>
          <w:rFonts w:cs="David"/>
          <w:sz w:val="24"/>
          <w:szCs w:val="24"/>
          <w:highlight w:val="yellow"/>
        </w:rPr>
      </w:pPr>
      <w:r w:rsidRPr="0014627E">
        <w:rPr>
          <w:rFonts w:cs="David" w:hint="cs"/>
          <w:sz w:val="24"/>
          <w:szCs w:val="24"/>
          <w:highlight w:val="yellow"/>
          <w:rtl/>
        </w:rPr>
        <w:t>רגולציה פרטית מתחרה ברגולציה מדינתית</w:t>
      </w:r>
    </w:p>
    <w:p w:rsidR="00511A78" w:rsidRPr="005F02AB" w:rsidRDefault="00511A78" w:rsidP="00D8792D">
      <w:pPr>
        <w:pStyle w:val="a3"/>
        <w:numPr>
          <w:ilvl w:val="0"/>
          <w:numId w:val="7"/>
        </w:numPr>
        <w:jc w:val="both"/>
        <w:rPr>
          <w:rFonts w:cs="David"/>
          <w:sz w:val="24"/>
          <w:szCs w:val="24"/>
        </w:rPr>
      </w:pPr>
      <w:r>
        <w:rPr>
          <w:rFonts w:cs="David" w:hint="cs"/>
          <w:sz w:val="24"/>
          <w:szCs w:val="24"/>
          <w:rtl/>
        </w:rPr>
        <w:t>שוק ריכוזי שאינו פתוח לתחרות</w:t>
      </w:r>
      <w:r w:rsidRPr="005F02AB">
        <w:rPr>
          <w:rFonts w:cs="David" w:hint="cs"/>
          <w:sz w:val="24"/>
          <w:szCs w:val="24"/>
          <w:rtl/>
        </w:rPr>
        <w:t>.</w:t>
      </w:r>
    </w:p>
    <w:p w:rsidR="00511A78" w:rsidRPr="005F02AB" w:rsidRDefault="00511A78" w:rsidP="00D8792D">
      <w:pPr>
        <w:pStyle w:val="a3"/>
        <w:numPr>
          <w:ilvl w:val="0"/>
          <w:numId w:val="7"/>
        </w:numPr>
        <w:jc w:val="both"/>
        <w:rPr>
          <w:rFonts w:cs="David"/>
          <w:sz w:val="24"/>
          <w:szCs w:val="24"/>
        </w:rPr>
      </w:pPr>
      <w:r>
        <w:rPr>
          <w:rFonts w:cs="David" w:hint="cs"/>
          <w:sz w:val="24"/>
          <w:szCs w:val="24"/>
          <w:rtl/>
        </w:rPr>
        <w:t>תיאוריית הבחירה הציבורית</w:t>
      </w:r>
      <w:r w:rsidRPr="005F02AB">
        <w:rPr>
          <w:rFonts w:cs="David" w:hint="cs"/>
          <w:sz w:val="24"/>
          <w:szCs w:val="24"/>
          <w:rtl/>
        </w:rPr>
        <w:t>.</w:t>
      </w:r>
    </w:p>
    <w:p w:rsidR="00575BC4" w:rsidRPr="003754E1" w:rsidRDefault="00575BC4" w:rsidP="00D8792D">
      <w:pPr>
        <w:pStyle w:val="a3"/>
        <w:ind w:left="226"/>
        <w:jc w:val="both"/>
        <w:rPr>
          <w:rFonts w:cs="David"/>
          <w:sz w:val="24"/>
          <w:szCs w:val="24"/>
          <w:u w:val="single"/>
          <w:rtl/>
        </w:rPr>
      </w:pPr>
    </w:p>
    <w:p w:rsidR="00665FE4" w:rsidRPr="00081392" w:rsidRDefault="0074357A" w:rsidP="00D8792D">
      <w:pPr>
        <w:jc w:val="both"/>
        <w:rPr>
          <w:rFonts w:cs="David"/>
          <w:b/>
          <w:bCs/>
          <w:sz w:val="24"/>
          <w:szCs w:val="24"/>
          <w:u w:val="single"/>
          <w:rtl/>
        </w:rPr>
      </w:pPr>
      <w:r w:rsidRPr="00081392">
        <w:rPr>
          <w:rFonts w:cs="David" w:hint="cs"/>
          <w:b/>
          <w:bCs/>
          <w:sz w:val="24"/>
          <w:szCs w:val="24"/>
          <w:u w:val="single"/>
          <w:rtl/>
        </w:rPr>
        <w:t>חלק 2</w:t>
      </w:r>
      <w:r w:rsidR="00702C80" w:rsidRPr="00081392">
        <w:rPr>
          <w:rFonts w:cs="David" w:hint="cs"/>
          <w:b/>
          <w:bCs/>
          <w:sz w:val="24"/>
          <w:szCs w:val="24"/>
          <w:u w:val="single"/>
          <w:rtl/>
        </w:rPr>
        <w:t xml:space="preserve"> (2</w:t>
      </w:r>
      <w:r w:rsidR="001B2DA2">
        <w:rPr>
          <w:rFonts w:cs="David" w:hint="cs"/>
          <w:b/>
          <w:bCs/>
          <w:sz w:val="24"/>
          <w:szCs w:val="24"/>
          <w:u w:val="single"/>
          <w:rtl/>
        </w:rPr>
        <w:t>6</w:t>
      </w:r>
      <w:r w:rsidR="00702C80" w:rsidRPr="00081392">
        <w:rPr>
          <w:rFonts w:cs="David" w:hint="cs"/>
          <w:b/>
          <w:bCs/>
          <w:sz w:val="24"/>
          <w:szCs w:val="24"/>
          <w:u w:val="single"/>
          <w:rtl/>
        </w:rPr>
        <w:t xml:space="preserve"> נק')</w:t>
      </w:r>
    </w:p>
    <w:p w:rsidR="00817F14" w:rsidRDefault="00817F14" w:rsidP="00160892">
      <w:pPr>
        <w:tabs>
          <w:tab w:val="left" w:pos="7739"/>
        </w:tabs>
        <w:ind w:right="709"/>
        <w:jc w:val="both"/>
        <w:rPr>
          <w:rFonts w:cs="David"/>
          <w:sz w:val="24"/>
          <w:szCs w:val="24"/>
          <w:rtl/>
        </w:rPr>
      </w:pPr>
      <w:r>
        <w:rPr>
          <w:rFonts w:cs="David" w:hint="cs"/>
          <w:sz w:val="24"/>
          <w:szCs w:val="24"/>
          <w:rtl/>
        </w:rPr>
        <w:t>ארגון בינלאומי שישראל חברה בו נאבק בסחר ועבדות ילדים. מוסדות הארגון קיבלו החלטה</w:t>
      </w:r>
      <w:r w:rsidR="00160892">
        <w:rPr>
          <w:rFonts w:cs="David" w:hint="cs"/>
          <w:sz w:val="24"/>
          <w:szCs w:val="24"/>
          <w:rtl/>
        </w:rPr>
        <w:t xml:space="preserve">: </w:t>
      </w:r>
      <w:r>
        <w:rPr>
          <w:rFonts w:cs="David" w:hint="cs"/>
          <w:sz w:val="24"/>
          <w:szCs w:val="24"/>
          <w:rtl/>
        </w:rPr>
        <w:t>כל מדינה צריכה לחוקק חוק לפיו אם עולה חשד שבמקום מס</w:t>
      </w:r>
      <w:r w:rsidR="001B2DA2">
        <w:rPr>
          <w:rFonts w:cs="David" w:hint="cs"/>
          <w:sz w:val="24"/>
          <w:szCs w:val="24"/>
          <w:rtl/>
        </w:rPr>
        <w:t>ו</w:t>
      </w:r>
      <w:r>
        <w:rPr>
          <w:rFonts w:cs="David" w:hint="cs"/>
          <w:sz w:val="24"/>
          <w:szCs w:val="24"/>
          <w:rtl/>
        </w:rPr>
        <w:t xml:space="preserve">יים מתקיימת עבודת ילדים אסורה, יתקיים שימוע מהיר </w:t>
      </w:r>
      <w:r w:rsidR="00160892">
        <w:rPr>
          <w:rFonts w:cs="David" w:hint="cs"/>
          <w:sz w:val="24"/>
          <w:szCs w:val="24"/>
          <w:rtl/>
        </w:rPr>
        <w:t xml:space="preserve">בכדי </w:t>
      </w:r>
      <w:r>
        <w:rPr>
          <w:rFonts w:cs="David" w:hint="cs"/>
          <w:sz w:val="24"/>
          <w:szCs w:val="24"/>
          <w:rtl/>
        </w:rPr>
        <w:t>לוודא את נכונות המידע, ובמידה ותתגלינה  "</w:t>
      </w:r>
      <w:r w:rsidR="001B2DA2">
        <w:rPr>
          <w:rFonts w:cs="David" w:hint="cs"/>
          <w:sz w:val="24"/>
          <w:szCs w:val="24"/>
          <w:rtl/>
        </w:rPr>
        <w:t>ראיות לכאורה</w:t>
      </w:r>
      <w:r>
        <w:rPr>
          <w:rFonts w:cs="David" w:hint="cs"/>
          <w:sz w:val="24"/>
          <w:szCs w:val="24"/>
          <w:rtl/>
        </w:rPr>
        <w:t xml:space="preserve">" לעבודת ילדים אסורה </w:t>
      </w:r>
      <w:r>
        <w:rPr>
          <w:rFonts w:cs="David"/>
          <w:sz w:val="24"/>
          <w:szCs w:val="24"/>
          <w:rtl/>
        </w:rPr>
        <w:t>–</w:t>
      </w:r>
      <w:r>
        <w:rPr>
          <w:rFonts w:cs="David" w:hint="cs"/>
          <w:sz w:val="24"/>
          <w:szCs w:val="24"/>
          <w:rtl/>
        </w:rPr>
        <w:t xml:space="preserve"> כל הרכוש במקום העבודה יופקע ללא כל פיצוי למעסיק.</w:t>
      </w:r>
    </w:p>
    <w:p w:rsidR="00817F14" w:rsidRDefault="00817F14" w:rsidP="00160892">
      <w:pPr>
        <w:ind w:right="709"/>
        <w:jc w:val="both"/>
        <w:rPr>
          <w:rFonts w:cs="David"/>
          <w:sz w:val="24"/>
          <w:szCs w:val="24"/>
          <w:rtl/>
        </w:rPr>
      </w:pPr>
      <w:r>
        <w:rPr>
          <w:rFonts w:cs="David" w:hint="cs"/>
          <w:sz w:val="24"/>
          <w:szCs w:val="24"/>
          <w:rtl/>
        </w:rPr>
        <w:t xml:space="preserve">לאחר דין ודברים, ולחץ כבד מצד הארגון, </w:t>
      </w:r>
      <w:r w:rsidR="001B2DA2">
        <w:rPr>
          <w:rFonts w:cs="David" w:hint="cs"/>
          <w:sz w:val="24"/>
          <w:szCs w:val="24"/>
          <w:rtl/>
        </w:rPr>
        <w:t xml:space="preserve">קידמה </w:t>
      </w:r>
      <w:r>
        <w:rPr>
          <w:rFonts w:cs="David" w:hint="cs"/>
          <w:sz w:val="24"/>
          <w:szCs w:val="24"/>
          <w:rtl/>
        </w:rPr>
        <w:t xml:space="preserve">הממשלה חקיקה העומדת בדרישות הארגון. </w:t>
      </w:r>
      <w:r w:rsidR="001B2DA2">
        <w:rPr>
          <w:rFonts w:cs="David" w:hint="cs"/>
          <w:sz w:val="24"/>
          <w:szCs w:val="24"/>
          <w:rtl/>
        </w:rPr>
        <w:t>בשל חשש מעיכוב החקיקה, הוחלט כי החוק ייכלל במסגרת חוק ההסדרים. התיקון לחוק הוכלל בנוסח חוק ההסדרים כשבוע לפני מועד ההצבעה, שהתקיימה כ"מרתון"  דיונים באחד מהימים</w:t>
      </w:r>
      <w:r w:rsidR="00160892">
        <w:rPr>
          <w:rFonts w:cs="David" w:hint="cs"/>
          <w:sz w:val="24"/>
          <w:szCs w:val="24"/>
          <w:rtl/>
        </w:rPr>
        <w:t xml:space="preserve"> והלילות</w:t>
      </w:r>
      <w:r w:rsidR="001B2DA2">
        <w:rPr>
          <w:rFonts w:cs="David" w:hint="cs"/>
          <w:sz w:val="24"/>
          <w:szCs w:val="24"/>
          <w:rtl/>
        </w:rPr>
        <w:t xml:space="preserve"> האחרונים בחודש דצמבר. בגלל התנגדות לחוק מצד משרד המשפטים, נוסח החוק שונה ונקבעה בו רמת הסתברות גבוה יותר להפקעה ללא פיצוי </w:t>
      </w:r>
      <w:r w:rsidR="001B2DA2">
        <w:rPr>
          <w:rFonts w:cs="David"/>
          <w:sz w:val="24"/>
          <w:szCs w:val="24"/>
          <w:rtl/>
        </w:rPr>
        <w:t>–</w:t>
      </w:r>
      <w:r w:rsidR="001B2DA2">
        <w:rPr>
          <w:rFonts w:cs="David" w:hint="cs"/>
          <w:sz w:val="24"/>
          <w:szCs w:val="24"/>
          <w:rtl/>
        </w:rPr>
        <w:t xml:space="preserve"> "סבירות גבוהה"</w:t>
      </w:r>
      <w:r w:rsidR="00160892">
        <w:rPr>
          <w:rFonts w:cs="David" w:hint="cs"/>
          <w:sz w:val="24"/>
          <w:szCs w:val="24"/>
          <w:rtl/>
        </w:rPr>
        <w:t xml:space="preserve"> לעבודת ילדים אסורה</w:t>
      </w:r>
      <w:r w:rsidR="001B2DA2">
        <w:rPr>
          <w:rFonts w:cs="David" w:hint="cs"/>
          <w:sz w:val="24"/>
          <w:szCs w:val="24"/>
          <w:rtl/>
        </w:rPr>
        <w:t xml:space="preserve">. תיקון זה הוכנס להצעת החוק כחצי שעה לפני ההצבעה בוועדת הכספים. בניגוד לעמדת היועצת המשפטית של הוועדה, הצביעו חברי הכנסת לקבל את החוק </w:t>
      </w:r>
      <w:r w:rsidR="001B2DA2">
        <w:rPr>
          <w:rFonts w:cs="David"/>
          <w:sz w:val="24"/>
          <w:szCs w:val="24"/>
          <w:rtl/>
        </w:rPr>
        <w:t>–</w:t>
      </w:r>
      <w:r w:rsidR="001B2DA2">
        <w:rPr>
          <w:rFonts w:cs="David" w:hint="cs"/>
          <w:sz w:val="24"/>
          <w:szCs w:val="24"/>
          <w:rtl/>
        </w:rPr>
        <w:t xml:space="preserve"> לרבות התיקון האמור - ולאחר מכן החוק עבר להצבעה במליאה </w:t>
      </w:r>
      <w:r w:rsidR="001B2DA2">
        <w:rPr>
          <w:rFonts w:cs="David"/>
          <w:sz w:val="24"/>
          <w:szCs w:val="24"/>
          <w:rtl/>
        </w:rPr>
        <w:t>–</w:t>
      </w:r>
      <w:r w:rsidR="001B2DA2">
        <w:rPr>
          <w:rFonts w:cs="David" w:hint="cs"/>
          <w:sz w:val="24"/>
          <w:szCs w:val="24"/>
          <w:rtl/>
        </w:rPr>
        <w:t xml:space="preserve"> והתקבל.</w:t>
      </w:r>
    </w:p>
    <w:p w:rsidR="00160892" w:rsidRDefault="00160892" w:rsidP="00160892">
      <w:pPr>
        <w:ind w:right="709"/>
        <w:jc w:val="both"/>
        <w:rPr>
          <w:rFonts w:cs="David"/>
          <w:sz w:val="24"/>
          <w:szCs w:val="24"/>
          <w:rtl/>
        </w:rPr>
      </w:pPr>
      <w:r>
        <w:rPr>
          <w:rFonts w:cs="David" w:hint="cs"/>
          <w:sz w:val="24"/>
          <w:szCs w:val="24"/>
          <w:rtl/>
        </w:rPr>
        <w:t>נתחו את התפתחות החקיקה (6 נק')</w:t>
      </w:r>
    </w:p>
    <w:p w:rsidR="00160892" w:rsidRDefault="00160892" w:rsidP="00160892">
      <w:pPr>
        <w:ind w:right="709"/>
        <w:jc w:val="both"/>
        <w:rPr>
          <w:rFonts w:cs="David"/>
          <w:sz w:val="24"/>
          <w:szCs w:val="24"/>
          <w:rtl/>
        </w:rPr>
      </w:pPr>
      <w:r>
        <w:rPr>
          <w:rFonts w:cs="David" w:hint="cs"/>
          <w:sz w:val="24"/>
          <w:szCs w:val="24"/>
          <w:rtl/>
        </w:rPr>
        <w:t>ענו על השאלה הבאה (20 נק'):</w:t>
      </w:r>
    </w:p>
    <w:p w:rsidR="001B2DA2" w:rsidRDefault="001B2DA2" w:rsidP="00160892">
      <w:pPr>
        <w:ind w:right="709"/>
        <w:jc w:val="both"/>
        <w:rPr>
          <w:rFonts w:cs="David"/>
          <w:sz w:val="24"/>
          <w:szCs w:val="24"/>
          <w:rtl/>
        </w:rPr>
      </w:pPr>
      <w:r>
        <w:rPr>
          <w:rFonts w:cs="David" w:hint="cs"/>
          <w:sz w:val="24"/>
          <w:szCs w:val="24"/>
          <w:rtl/>
        </w:rPr>
        <w:t>ארגון המעסיקים מעוניין לתקוף את החוק. אלו דרכים פתוחות בפניו ומה ניתן לטעון כנגד החוק?</w:t>
      </w:r>
    </w:p>
    <w:p w:rsidR="001B2DA2" w:rsidRPr="00300478" w:rsidRDefault="00300478" w:rsidP="00D8792D">
      <w:pPr>
        <w:jc w:val="both"/>
        <w:rPr>
          <w:rFonts w:cs="David"/>
          <w:b/>
          <w:bCs/>
          <w:sz w:val="24"/>
          <w:szCs w:val="24"/>
          <w:rtl/>
        </w:rPr>
      </w:pPr>
      <w:r w:rsidRPr="00300478">
        <w:rPr>
          <w:rFonts w:cs="David" w:hint="cs"/>
          <w:b/>
          <w:bCs/>
          <w:sz w:val="24"/>
          <w:szCs w:val="24"/>
          <w:rtl/>
        </w:rPr>
        <w:t>נקודות לפיתרון:</w:t>
      </w:r>
    </w:p>
    <w:p w:rsidR="00300478" w:rsidRPr="00300478" w:rsidRDefault="00300478" w:rsidP="00300478">
      <w:pPr>
        <w:ind w:right="709"/>
        <w:jc w:val="both"/>
        <w:rPr>
          <w:rFonts w:cs="David"/>
          <w:sz w:val="24"/>
          <w:szCs w:val="24"/>
          <w:rtl/>
        </w:rPr>
      </w:pPr>
      <w:r>
        <w:rPr>
          <w:rFonts w:cs="David" w:hint="cs"/>
          <w:sz w:val="24"/>
          <w:szCs w:val="24"/>
          <w:rtl/>
        </w:rPr>
        <w:t xml:space="preserve">התפתחות החקיקה - </w:t>
      </w:r>
      <w:r w:rsidRPr="00300478">
        <w:rPr>
          <w:rFonts w:cs="David" w:hint="cs"/>
          <w:sz w:val="24"/>
          <w:szCs w:val="24"/>
          <w:rtl/>
        </w:rPr>
        <w:t xml:space="preserve">המצב המתואר משקף את גישת הממשל הגלובלי, במסגרתה חקיקה פנימית של מדינות נובעת לעיתים קרובות לא משיקולים פנימיים </w:t>
      </w:r>
      <w:r w:rsidR="00D336E4">
        <w:rPr>
          <w:rFonts w:cs="David" w:hint="cs"/>
          <w:sz w:val="24"/>
          <w:szCs w:val="24"/>
          <w:rtl/>
        </w:rPr>
        <w:t xml:space="preserve">בלבד, </w:t>
      </w:r>
      <w:r w:rsidRPr="00300478">
        <w:rPr>
          <w:rFonts w:cs="David" w:hint="cs"/>
          <w:sz w:val="24"/>
          <w:szCs w:val="24"/>
          <w:rtl/>
        </w:rPr>
        <w:t xml:space="preserve">אלא </w:t>
      </w:r>
      <w:r w:rsidR="00D336E4">
        <w:rPr>
          <w:rFonts w:cs="David" w:hint="cs"/>
          <w:sz w:val="24"/>
          <w:szCs w:val="24"/>
          <w:rtl/>
        </w:rPr>
        <w:t xml:space="preserve">גם </w:t>
      </w:r>
      <w:r w:rsidRPr="00300478">
        <w:rPr>
          <w:rFonts w:cs="David" w:hint="cs"/>
          <w:sz w:val="24"/>
          <w:szCs w:val="24"/>
          <w:rtl/>
        </w:rPr>
        <w:t xml:space="preserve">משיקולים של יחסי חוץ וכוחם של ארגונים בינלאומיים.  כאן מדובר בארגון לא רשמי אך ככל הנראה בעל השפעה, בכלל זה השפעה על המשפט הפנימי ועל עקרונות יסוד של השיטה הפנימית (הפקעה ללא פיצוי). </w:t>
      </w:r>
    </w:p>
    <w:p w:rsidR="002046AC" w:rsidRPr="00300478" w:rsidRDefault="00300478" w:rsidP="00300478">
      <w:pPr>
        <w:ind w:right="709"/>
        <w:jc w:val="both"/>
        <w:rPr>
          <w:rFonts w:cs="David"/>
          <w:sz w:val="24"/>
          <w:szCs w:val="24"/>
          <w:rtl/>
        </w:rPr>
      </w:pPr>
      <w:r>
        <w:rPr>
          <w:rFonts w:cs="David" w:hint="cs"/>
          <w:sz w:val="24"/>
          <w:szCs w:val="24"/>
          <w:rtl/>
        </w:rPr>
        <w:t xml:space="preserve">הטענות כנגד החוק </w:t>
      </w:r>
      <w:r>
        <w:rPr>
          <w:rFonts w:cs="David"/>
          <w:sz w:val="24"/>
          <w:szCs w:val="24"/>
          <w:rtl/>
        </w:rPr>
        <w:t>–</w:t>
      </w:r>
      <w:r>
        <w:rPr>
          <w:rFonts w:cs="David" w:hint="cs"/>
          <w:sz w:val="24"/>
          <w:szCs w:val="24"/>
          <w:rtl/>
        </w:rPr>
        <w:t xml:space="preserve"> בחלק זה נדרשתם לנתח את </w:t>
      </w:r>
      <w:r w:rsidR="001B2DA2" w:rsidRPr="00300478">
        <w:rPr>
          <w:rFonts w:cs="David" w:hint="cs"/>
          <w:sz w:val="24"/>
          <w:szCs w:val="24"/>
          <w:rtl/>
        </w:rPr>
        <w:t xml:space="preserve">ההלכה בעניין פסילת חקיקה בגלל "פגם בהליך החקיקה", במסגרת ביקורת שיפוטית על חוק ההסדרים, לרבות המהלכים האחרונים בעניין חוק מס דירה שלישית, מעמד הייעוץ המשפטי של הכנסת, פסיקת בגץ בעניין מגדלי העופות על פגיעה ברכיב "ההשתתפות" בהליך החקיקה.  </w:t>
      </w:r>
    </w:p>
    <w:p w:rsidR="002046AC" w:rsidRPr="00300478" w:rsidRDefault="00300478" w:rsidP="00300478">
      <w:pPr>
        <w:ind w:right="709"/>
        <w:jc w:val="both"/>
        <w:rPr>
          <w:rFonts w:cs="David"/>
          <w:sz w:val="24"/>
          <w:szCs w:val="24"/>
          <w:rtl/>
        </w:rPr>
      </w:pPr>
      <w:r>
        <w:rPr>
          <w:rFonts w:cs="David" w:hint="cs"/>
          <w:sz w:val="24"/>
          <w:szCs w:val="24"/>
          <w:rtl/>
        </w:rPr>
        <w:t>ניתן ניקוד נוסף לתשובות שהתייחסו</w:t>
      </w:r>
      <w:r w:rsidR="001B2DA2" w:rsidRPr="00300478">
        <w:rPr>
          <w:rFonts w:cs="David" w:hint="cs"/>
          <w:sz w:val="24"/>
          <w:szCs w:val="24"/>
          <w:rtl/>
        </w:rPr>
        <w:t xml:space="preserve"> לטענה על אי חוקתיות בגלל פגיעה בזכות הקניין, בגין הפקעה ללא פיצוי, או בגין הפקעה ללא הליך שיפוטי, או בגלל רמה ראייתית לא מספקת </w:t>
      </w:r>
      <w:r w:rsidR="001B2DA2" w:rsidRPr="00300478">
        <w:rPr>
          <w:rFonts w:cs="David"/>
          <w:sz w:val="24"/>
          <w:szCs w:val="24"/>
          <w:rtl/>
        </w:rPr>
        <w:t>–</w:t>
      </w:r>
      <w:r w:rsidR="001B2DA2" w:rsidRPr="00300478">
        <w:rPr>
          <w:rFonts w:cs="David" w:hint="cs"/>
          <w:sz w:val="24"/>
          <w:szCs w:val="24"/>
          <w:rtl/>
        </w:rPr>
        <w:t xml:space="preserve"> כלומר התי</w:t>
      </w:r>
      <w:r>
        <w:rPr>
          <w:rFonts w:cs="David" w:hint="cs"/>
          <w:sz w:val="24"/>
          <w:szCs w:val="24"/>
          <w:rtl/>
        </w:rPr>
        <w:t>י</w:t>
      </w:r>
      <w:r w:rsidR="001B2DA2" w:rsidRPr="00300478">
        <w:rPr>
          <w:rFonts w:cs="David" w:hint="cs"/>
          <w:sz w:val="24"/>
          <w:szCs w:val="24"/>
          <w:rtl/>
        </w:rPr>
        <w:t>חסות לביקורת שיפוטית מהותית</w:t>
      </w:r>
      <w:r w:rsidR="00D336E4">
        <w:rPr>
          <w:rFonts w:cs="David" w:hint="cs"/>
          <w:sz w:val="24"/>
          <w:szCs w:val="24"/>
          <w:rtl/>
        </w:rPr>
        <w:t xml:space="preserve"> מכוח חוקי היסוד</w:t>
      </w:r>
      <w:r w:rsidR="001B2DA2" w:rsidRPr="00300478">
        <w:rPr>
          <w:rFonts w:cs="David" w:hint="cs"/>
          <w:sz w:val="24"/>
          <w:szCs w:val="24"/>
          <w:rtl/>
        </w:rPr>
        <w:t>.</w:t>
      </w:r>
    </w:p>
    <w:p w:rsidR="001B2DA2" w:rsidRDefault="001B2DA2" w:rsidP="00D336E4">
      <w:pPr>
        <w:ind w:right="709"/>
        <w:jc w:val="both"/>
        <w:rPr>
          <w:rFonts w:cs="David"/>
          <w:sz w:val="24"/>
          <w:szCs w:val="24"/>
          <w:rtl/>
        </w:rPr>
      </w:pPr>
      <w:r w:rsidRPr="00300478">
        <w:rPr>
          <w:rFonts w:cs="David" w:hint="cs"/>
          <w:sz w:val="24"/>
          <w:szCs w:val="24"/>
          <w:rtl/>
        </w:rPr>
        <w:t xml:space="preserve">בונוס: האם לעובדה שמקור המוטיבציה של החקיקה הוא גוף בינלאומי </w:t>
      </w:r>
      <w:r w:rsidRPr="00300478">
        <w:rPr>
          <w:rFonts w:cs="David"/>
          <w:sz w:val="24"/>
          <w:szCs w:val="24"/>
          <w:rtl/>
        </w:rPr>
        <w:t>–</w:t>
      </w:r>
      <w:r w:rsidRPr="00300478">
        <w:rPr>
          <w:rFonts w:cs="David" w:hint="cs"/>
          <w:sz w:val="24"/>
          <w:szCs w:val="24"/>
          <w:rtl/>
        </w:rPr>
        <w:t xml:space="preserve"> יש משמעות לגבי תוקפה של חקיקה מדינתית? במקרה זה מדובר בגוף בינלאומי, שאינו גוף מחייב, ורגולציה "רכה", שאינה מחייבת את המדינה</w:t>
      </w:r>
      <w:r w:rsidR="00D336E4">
        <w:rPr>
          <w:rFonts w:cs="David" w:hint="cs"/>
          <w:sz w:val="24"/>
          <w:szCs w:val="24"/>
          <w:rtl/>
        </w:rPr>
        <w:t xml:space="preserve">. </w:t>
      </w:r>
      <w:r w:rsidRPr="00300478">
        <w:rPr>
          <w:rFonts w:cs="David" w:hint="cs"/>
          <w:sz w:val="24"/>
          <w:szCs w:val="24"/>
          <w:rtl/>
        </w:rPr>
        <w:t>האם ניתן לטעון שהחוק אינו "לתכלית ראויה" אם נבע מלחץ של גוף בינלאומי?</w:t>
      </w:r>
    </w:p>
    <w:p w:rsidR="00300478" w:rsidRPr="00300478" w:rsidRDefault="00300478" w:rsidP="00300478">
      <w:pPr>
        <w:ind w:right="709"/>
        <w:jc w:val="both"/>
        <w:rPr>
          <w:rFonts w:cs="David"/>
          <w:sz w:val="24"/>
          <w:szCs w:val="24"/>
          <w:rtl/>
        </w:rPr>
      </w:pPr>
    </w:p>
    <w:p w:rsidR="00DA69FC" w:rsidRPr="00081392" w:rsidRDefault="00D16CF1" w:rsidP="00D8792D">
      <w:pPr>
        <w:jc w:val="both"/>
        <w:rPr>
          <w:rFonts w:cs="David"/>
          <w:b/>
          <w:bCs/>
          <w:sz w:val="24"/>
          <w:szCs w:val="24"/>
          <w:u w:val="single"/>
          <w:rtl/>
        </w:rPr>
      </w:pPr>
      <w:r w:rsidRPr="00081392">
        <w:rPr>
          <w:rFonts w:cs="David" w:hint="cs"/>
          <w:b/>
          <w:bCs/>
          <w:sz w:val="24"/>
          <w:szCs w:val="24"/>
          <w:u w:val="single"/>
          <w:rtl/>
        </w:rPr>
        <w:t>חלק 3</w:t>
      </w:r>
      <w:r w:rsidR="006569B6" w:rsidRPr="00081392">
        <w:rPr>
          <w:rFonts w:cs="David" w:hint="cs"/>
          <w:b/>
          <w:bCs/>
          <w:sz w:val="24"/>
          <w:szCs w:val="24"/>
          <w:u w:val="single"/>
          <w:rtl/>
        </w:rPr>
        <w:t xml:space="preserve"> (</w:t>
      </w:r>
      <w:r w:rsidR="00F22E6B">
        <w:rPr>
          <w:rFonts w:cs="David" w:hint="cs"/>
          <w:b/>
          <w:bCs/>
          <w:sz w:val="24"/>
          <w:szCs w:val="24"/>
          <w:u w:val="single"/>
          <w:rtl/>
        </w:rPr>
        <w:t>40</w:t>
      </w:r>
      <w:r w:rsidR="006569B6" w:rsidRPr="00081392">
        <w:rPr>
          <w:rFonts w:cs="David" w:hint="cs"/>
          <w:b/>
          <w:bCs/>
          <w:sz w:val="24"/>
          <w:szCs w:val="24"/>
          <w:u w:val="single"/>
          <w:rtl/>
        </w:rPr>
        <w:t xml:space="preserve"> נק')</w:t>
      </w:r>
    </w:p>
    <w:p w:rsidR="00D16CF1" w:rsidRDefault="00C23EE5" w:rsidP="000300FE">
      <w:pPr>
        <w:ind w:right="709"/>
        <w:jc w:val="both"/>
        <w:rPr>
          <w:rFonts w:cs="David"/>
          <w:sz w:val="24"/>
          <w:szCs w:val="24"/>
          <w:rtl/>
        </w:rPr>
      </w:pPr>
      <w:r>
        <w:rPr>
          <w:rFonts w:cs="David" w:hint="cs"/>
          <w:sz w:val="24"/>
          <w:szCs w:val="24"/>
          <w:rtl/>
        </w:rPr>
        <w:t>הכנסת חוקקה חוק חדש</w:t>
      </w:r>
      <w:r w:rsidR="007D0F0F">
        <w:rPr>
          <w:rFonts w:cs="David" w:hint="cs"/>
          <w:sz w:val="24"/>
          <w:szCs w:val="24"/>
          <w:rtl/>
        </w:rPr>
        <w:t xml:space="preserve">: חוק התחדשות עירונית (הסכמים לארגון עסקאות) </w:t>
      </w:r>
      <w:proofErr w:type="spellStart"/>
      <w:r w:rsidR="007D0F0F">
        <w:rPr>
          <w:rFonts w:cs="David" w:hint="cs"/>
          <w:sz w:val="24"/>
          <w:szCs w:val="24"/>
          <w:rtl/>
        </w:rPr>
        <w:t>התשע"ז</w:t>
      </w:r>
      <w:proofErr w:type="spellEnd"/>
      <w:r w:rsidR="007D0F0F">
        <w:rPr>
          <w:rFonts w:cs="David" w:hint="cs"/>
          <w:sz w:val="24"/>
          <w:szCs w:val="24"/>
          <w:rtl/>
        </w:rPr>
        <w:t xml:space="preserve"> </w:t>
      </w:r>
      <w:r w:rsidR="007D0F0F">
        <w:rPr>
          <w:rFonts w:cs="David"/>
          <w:sz w:val="24"/>
          <w:szCs w:val="24"/>
          <w:rtl/>
        </w:rPr>
        <w:t>–</w:t>
      </w:r>
      <w:r w:rsidR="007D0F0F">
        <w:rPr>
          <w:rFonts w:cs="David" w:hint="cs"/>
          <w:sz w:val="24"/>
          <w:szCs w:val="24"/>
          <w:rtl/>
        </w:rPr>
        <w:t xml:space="preserve"> 2017. </w:t>
      </w:r>
      <w:r>
        <w:rPr>
          <w:rFonts w:cs="David" w:hint="cs"/>
          <w:sz w:val="24"/>
          <w:szCs w:val="24"/>
          <w:rtl/>
        </w:rPr>
        <w:t>מטרת</w:t>
      </w:r>
      <w:r w:rsidR="007D0F0F">
        <w:rPr>
          <w:rFonts w:cs="David" w:hint="cs"/>
          <w:sz w:val="24"/>
          <w:szCs w:val="24"/>
          <w:rtl/>
        </w:rPr>
        <w:t xml:space="preserve"> החוק היתה </w:t>
      </w:r>
      <w:r>
        <w:rPr>
          <w:rFonts w:cs="David" w:hint="cs"/>
          <w:sz w:val="24"/>
          <w:szCs w:val="24"/>
          <w:rtl/>
        </w:rPr>
        <w:t>להסדי</w:t>
      </w:r>
      <w:r w:rsidR="007D0F0F">
        <w:rPr>
          <w:rFonts w:cs="David" w:hint="cs"/>
          <w:sz w:val="24"/>
          <w:szCs w:val="24"/>
          <w:rtl/>
        </w:rPr>
        <w:t xml:space="preserve">ר את תחום </w:t>
      </w:r>
      <w:r>
        <w:rPr>
          <w:rFonts w:cs="David" w:hint="cs"/>
          <w:sz w:val="24"/>
          <w:szCs w:val="24"/>
          <w:rtl/>
        </w:rPr>
        <w:t xml:space="preserve">"התארגנות הדיירים" בתהליכי התחדשות עירונית. התחדשות היא מצב בו דיירי בניינים ישנים מתקשרים עם יזם פרטי, על מנת שהוא יבצע פעולה של "הריסה ובנייה מחדש" (כ"פינוי בינוי") של המתחם. במסגרת ההתקשרות, הדיירים מוכרים ליזם את זכויותיהם בדירתם הישנה, הוא הורס את הדירות ובונה במקומן בניין עם דירות רבות יותר. כך הדיירים מקבלים דירה חדשה, והיזם מממן את הפרויקט באמצעות מכירת הדירות החדשות. </w:t>
      </w:r>
    </w:p>
    <w:p w:rsidR="00C23EE5" w:rsidRDefault="007F468D" w:rsidP="000300FE">
      <w:pPr>
        <w:ind w:right="709"/>
        <w:jc w:val="both"/>
        <w:rPr>
          <w:rFonts w:cs="David"/>
          <w:sz w:val="24"/>
          <w:szCs w:val="24"/>
          <w:rtl/>
        </w:rPr>
      </w:pPr>
      <w:r>
        <w:rPr>
          <w:rFonts w:cs="David" w:hint="cs"/>
          <w:sz w:val="24"/>
          <w:szCs w:val="24"/>
          <w:rtl/>
        </w:rPr>
        <w:t>ב</w:t>
      </w:r>
      <w:r w:rsidR="00C23EE5">
        <w:rPr>
          <w:rFonts w:cs="David" w:hint="cs"/>
          <w:sz w:val="24"/>
          <w:szCs w:val="24"/>
          <w:rtl/>
        </w:rPr>
        <w:t>משך השנים התגלו בעיות רבות בהליך זה, במיוחד כניסתם של "מארגני דיירים" שפעלו בדרך שלא הבטיחה</w:t>
      </w:r>
      <w:r w:rsidR="007D0F0F">
        <w:rPr>
          <w:rFonts w:cs="David" w:hint="cs"/>
          <w:sz w:val="24"/>
          <w:szCs w:val="24"/>
          <w:rtl/>
        </w:rPr>
        <w:t xml:space="preserve"> כ</w:t>
      </w:r>
      <w:r w:rsidR="00C23EE5">
        <w:rPr>
          <w:rFonts w:cs="David" w:hint="cs"/>
          <w:sz w:val="24"/>
          <w:szCs w:val="24"/>
          <w:rtl/>
        </w:rPr>
        <w:t>ראוי את זכויות הדיירים במתחמים המיועדים להתחדשות עירונית. החוק החדש ביקש להתמודד עם בעיה זו באמצעות קביעת מספר הוראות:</w:t>
      </w:r>
    </w:p>
    <w:p w:rsidR="007D0F0F" w:rsidRDefault="007D0F0F" w:rsidP="000300FE">
      <w:pPr>
        <w:pStyle w:val="a3"/>
        <w:numPr>
          <w:ilvl w:val="0"/>
          <w:numId w:val="20"/>
        </w:numPr>
        <w:ind w:right="709"/>
        <w:jc w:val="both"/>
        <w:rPr>
          <w:rFonts w:cs="David"/>
          <w:sz w:val="24"/>
          <w:szCs w:val="24"/>
        </w:rPr>
      </w:pPr>
      <w:r>
        <w:rPr>
          <w:rFonts w:cs="David" w:hint="cs"/>
          <w:sz w:val="24"/>
          <w:szCs w:val="24"/>
          <w:rtl/>
        </w:rPr>
        <w:t>הגדרה רחבה של "מארגן דיירים".</w:t>
      </w:r>
    </w:p>
    <w:p w:rsidR="007D0F0F" w:rsidRDefault="007D0F0F" w:rsidP="000300FE">
      <w:pPr>
        <w:pStyle w:val="a3"/>
        <w:numPr>
          <w:ilvl w:val="0"/>
          <w:numId w:val="20"/>
        </w:numPr>
        <w:ind w:right="709"/>
        <w:jc w:val="both"/>
        <w:rPr>
          <w:rFonts w:cs="David"/>
          <w:sz w:val="24"/>
          <w:szCs w:val="24"/>
        </w:rPr>
      </w:pPr>
      <w:r>
        <w:rPr>
          <w:rFonts w:cs="David" w:hint="cs"/>
          <w:sz w:val="24"/>
          <w:szCs w:val="24"/>
          <w:rtl/>
        </w:rPr>
        <w:t>אין דרישת רישוי מוקדם של "מארגן"</w:t>
      </w:r>
      <w:r w:rsidR="007F468D">
        <w:rPr>
          <w:rFonts w:cs="David" w:hint="cs"/>
          <w:sz w:val="24"/>
          <w:szCs w:val="24"/>
          <w:rtl/>
        </w:rPr>
        <w:t>.</w:t>
      </w:r>
    </w:p>
    <w:p w:rsidR="00C23EE5" w:rsidRDefault="00C23EE5" w:rsidP="000300FE">
      <w:pPr>
        <w:pStyle w:val="a3"/>
        <w:numPr>
          <w:ilvl w:val="0"/>
          <w:numId w:val="20"/>
        </w:numPr>
        <w:ind w:right="709"/>
        <w:jc w:val="both"/>
        <w:rPr>
          <w:rFonts w:cs="David"/>
          <w:sz w:val="24"/>
          <w:szCs w:val="24"/>
        </w:rPr>
      </w:pPr>
      <w:r>
        <w:rPr>
          <w:rFonts w:cs="David" w:hint="cs"/>
          <w:sz w:val="24"/>
          <w:szCs w:val="24"/>
          <w:rtl/>
        </w:rPr>
        <w:t xml:space="preserve">הטלת </w:t>
      </w:r>
      <w:r w:rsidR="007D0F0F">
        <w:rPr>
          <w:rFonts w:cs="David" w:hint="cs"/>
          <w:sz w:val="24"/>
          <w:szCs w:val="24"/>
          <w:rtl/>
        </w:rPr>
        <w:t>חובות ו</w:t>
      </w:r>
      <w:r>
        <w:rPr>
          <w:rFonts w:cs="David" w:hint="cs"/>
          <w:sz w:val="24"/>
          <w:szCs w:val="24"/>
          <w:rtl/>
        </w:rPr>
        <w:t>מגבלות על</w:t>
      </w:r>
      <w:r w:rsidR="007D0F0F">
        <w:rPr>
          <w:rFonts w:cs="David" w:hint="cs"/>
          <w:sz w:val="24"/>
          <w:szCs w:val="24"/>
          <w:rtl/>
        </w:rPr>
        <w:t xml:space="preserve"> פעולות </w:t>
      </w:r>
      <w:r>
        <w:rPr>
          <w:rFonts w:cs="David" w:hint="cs"/>
          <w:sz w:val="24"/>
          <w:szCs w:val="24"/>
          <w:rtl/>
        </w:rPr>
        <w:t xml:space="preserve"> "מארגני דיירים" כגון </w:t>
      </w:r>
      <w:r>
        <w:rPr>
          <w:rFonts w:cs="David"/>
          <w:sz w:val="24"/>
          <w:szCs w:val="24"/>
          <w:rtl/>
        </w:rPr>
        <w:t>–</w:t>
      </w:r>
      <w:r>
        <w:rPr>
          <w:rFonts w:cs="David" w:hint="cs"/>
          <w:sz w:val="24"/>
          <w:szCs w:val="24"/>
          <w:rtl/>
        </w:rPr>
        <w:t xml:space="preserve"> חובות אמון כלפי הדיירים, הטלת חובות גילוי של המארגן </w:t>
      </w:r>
      <w:r w:rsidR="007D0F0F">
        <w:rPr>
          <w:rFonts w:cs="David" w:hint="cs"/>
          <w:sz w:val="24"/>
          <w:szCs w:val="24"/>
          <w:rtl/>
        </w:rPr>
        <w:t>אם הוא פ</w:t>
      </w:r>
      <w:r w:rsidR="000300FE">
        <w:rPr>
          <w:rFonts w:cs="David" w:hint="cs"/>
          <w:sz w:val="24"/>
          <w:szCs w:val="24"/>
          <w:rtl/>
        </w:rPr>
        <w:t>וע</w:t>
      </w:r>
      <w:r w:rsidR="007D0F0F">
        <w:rPr>
          <w:rFonts w:cs="David" w:hint="cs"/>
          <w:sz w:val="24"/>
          <w:szCs w:val="24"/>
          <w:rtl/>
        </w:rPr>
        <w:t>ל בשם יזם.</w:t>
      </w:r>
    </w:p>
    <w:p w:rsidR="007D0F0F" w:rsidRPr="00C23EE5" w:rsidRDefault="007D0F0F" w:rsidP="000300FE">
      <w:pPr>
        <w:pStyle w:val="a3"/>
        <w:numPr>
          <w:ilvl w:val="0"/>
          <w:numId w:val="20"/>
        </w:numPr>
        <w:ind w:right="709"/>
        <w:jc w:val="both"/>
        <w:rPr>
          <w:rFonts w:cs="David"/>
          <w:sz w:val="24"/>
          <w:szCs w:val="24"/>
          <w:rtl/>
        </w:rPr>
      </w:pPr>
      <w:r>
        <w:rPr>
          <w:rFonts w:cs="David" w:hint="cs"/>
          <w:sz w:val="24"/>
          <w:szCs w:val="24"/>
          <w:rtl/>
        </w:rPr>
        <w:t xml:space="preserve">הקמת "נציב תלונות" אליו יוכלו דיירים לפנות בעניין פעולות לא ראויות של מארגנים. הנציבות פועל  במסגרת "הרשות להתחדשות עירונית", גוף מדינתי המרכז את הטיפול בהתחדשות עירונית בישראל. </w:t>
      </w:r>
    </w:p>
    <w:p w:rsidR="00080A35" w:rsidRDefault="007D0F0F" w:rsidP="000300FE">
      <w:pPr>
        <w:ind w:right="709"/>
        <w:jc w:val="both"/>
        <w:rPr>
          <w:rFonts w:cs="David"/>
          <w:sz w:val="24"/>
          <w:szCs w:val="24"/>
          <w:rtl/>
        </w:rPr>
      </w:pPr>
      <w:r>
        <w:rPr>
          <w:rFonts w:cs="David" w:hint="cs"/>
          <w:sz w:val="24"/>
          <w:szCs w:val="24"/>
          <w:rtl/>
        </w:rPr>
        <w:t xml:space="preserve">ארגון חברה אזרחית </w:t>
      </w:r>
      <w:r>
        <w:rPr>
          <w:rFonts w:cs="David"/>
          <w:sz w:val="24"/>
          <w:szCs w:val="24"/>
          <w:rtl/>
        </w:rPr>
        <w:t>–</w:t>
      </w:r>
      <w:r>
        <w:rPr>
          <w:rFonts w:cs="David" w:hint="cs"/>
          <w:sz w:val="24"/>
          <w:szCs w:val="24"/>
          <w:rtl/>
        </w:rPr>
        <w:t xml:space="preserve"> "התחדשות הוגנת", החליט להכין "תו תקן" למארגני דיירים. "התחדשות הוגנת" חיבר מסמך ובו פירוט של מחויבויות של מארגן כלפי דיירים; </w:t>
      </w:r>
      <w:proofErr w:type="spellStart"/>
      <w:r>
        <w:rPr>
          <w:rFonts w:cs="David" w:hint="cs"/>
          <w:sz w:val="24"/>
          <w:szCs w:val="24"/>
          <w:rtl/>
        </w:rPr>
        <w:t>מחוייבויות</w:t>
      </w:r>
      <w:proofErr w:type="spellEnd"/>
      <w:r>
        <w:rPr>
          <w:rFonts w:cs="David" w:hint="cs"/>
          <w:sz w:val="24"/>
          <w:szCs w:val="24"/>
          <w:rtl/>
        </w:rPr>
        <w:t xml:space="preserve"> אלו רחבות מאלו שמפורטות בחוק החדש. כל מארגן שעובר הכשרה ומקבל על עצמו את הנורמות שקבע הארגון </w:t>
      </w:r>
      <w:r>
        <w:rPr>
          <w:rFonts w:cs="David"/>
          <w:sz w:val="24"/>
          <w:szCs w:val="24"/>
          <w:rtl/>
        </w:rPr>
        <w:t>–</w:t>
      </w:r>
      <w:r>
        <w:rPr>
          <w:rFonts w:cs="David" w:hint="cs"/>
          <w:sz w:val="24"/>
          <w:szCs w:val="24"/>
          <w:rtl/>
        </w:rPr>
        <w:t xml:space="preserve"> יקבל "תו תקן" מאת הארגון. כמו כן פנה ארגון "התחדשות הוגנת" ל</w:t>
      </w:r>
      <w:r w:rsidR="005203AA">
        <w:rPr>
          <w:rFonts w:cs="David" w:hint="cs"/>
          <w:sz w:val="24"/>
          <w:szCs w:val="24"/>
          <w:rtl/>
        </w:rPr>
        <w:t>"</w:t>
      </w:r>
      <w:r>
        <w:rPr>
          <w:rFonts w:cs="David" w:hint="cs"/>
          <w:sz w:val="24"/>
          <w:szCs w:val="24"/>
          <w:rtl/>
        </w:rPr>
        <w:t>רשות להתחדשות עירונית</w:t>
      </w:r>
      <w:r w:rsidR="005203AA">
        <w:rPr>
          <w:rFonts w:cs="David" w:hint="cs"/>
          <w:sz w:val="24"/>
          <w:szCs w:val="24"/>
          <w:rtl/>
        </w:rPr>
        <w:t xml:space="preserve">" </w:t>
      </w:r>
      <w:r w:rsidR="000300FE">
        <w:rPr>
          <w:rFonts w:cs="David" w:hint="cs"/>
          <w:sz w:val="24"/>
          <w:szCs w:val="24"/>
          <w:rtl/>
        </w:rPr>
        <w:t>וה</w:t>
      </w:r>
      <w:r w:rsidR="005203AA">
        <w:rPr>
          <w:rFonts w:cs="David" w:hint="cs"/>
          <w:sz w:val="24"/>
          <w:szCs w:val="24"/>
          <w:rtl/>
        </w:rPr>
        <w:t>ציע לה לעשות שימוש ב"תו התקן", במתכונת הבאה: במידה ותוגש תלונה לנציב התלונות כנגד מארגן המחזיק ב"תו התקן", תעמוד ל</w:t>
      </w:r>
      <w:r w:rsidR="000300FE">
        <w:rPr>
          <w:rFonts w:cs="David" w:hint="cs"/>
          <w:sz w:val="24"/>
          <w:szCs w:val="24"/>
          <w:rtl/>
        </w:rPr>
        <w:t xml:space="preserve">מארגן </w:t>
      </w:r>
      <w:r w:rsidR="005203AA">
        <w:rPr>
          <w:rFonts w:cs="David" w:hint="cs"/>
          <w:sz w:val="24"/>
          <w:szCs w:val="24"/>
          <w:rtl/>
        </w:rPr>
        <w:t>"חזקה משפטית" שהוא לא הפר את הוראות החוק</w:t>
      </w:r>
      <w:r w:rsidR="000300FE">
        <w:rPr>
          <w:rFonts w:cs="David" w:hint="cs"/>
          <w:sz w:val="24"/>
          <w:szCs w:val="24"/>
          <w:rtl/>
        </w:rPr>
        <w:t>,</w:t>
      </w:r>
      <w:r w:rsidR="005203AA">
        <w:rPr>
          <w:rFonts w:cs="David" w:hint="cs"/>
          <w:sz w:val="24"/>
          <w:szCs w:val="24"/>
          <w:rtl/>
        </w:rPr>
        <w:t xml:space="preserve"> והנטל שיוטל על הדייר להוכיח הפרה יהיה גבוה יותר. הרשות מסכימה להפעיל את ההסדר האמור עם "התחדשות הוגנת". </w:t>
      </w:r>
      <w:r>
        <w:rPr>
          <w:rFonts w:cs="David" w:hint="cs"/>
          <w:sz w:val="24"/>
          <w:szCs w:val="24"/>
          <w:rtl/>
        </w:rPr>
        <w:t xml:space="preserve"> </w:t>
      </w:r>
    </w:p>
    <w:p w:rsidR="00F22E6B" w:rsidRDefault="00F22E6B" w:rsidP="009D1D72">
      <w:pPr>
        <w:ind w:right="709"/>
        <w:jc w:val="both"/>
        <w:rPr>
          <w:rFonts w:cs="David"/>
          <w:sz w:val="24"/>
          <w:szCs w:val="24"/>
          <w:rtl/>
        </w:rPr>
      </w:pPr>
      <w:r>
        <w:rPr>
          <w:rFonts w:cs="David" w:hint="cs"/>
          <w:sz w:val="24"/>
          <w:szCs w:val="24"/>
          <w:rtl/>
        </w:rPr>
        <w:t xml:space="preserve">אחד הדיירים, </w:t>
      </w:r>
      <w:r w:rsidR="009D1D72">
        <w:rPr>
          <w:rFonts w:cs="David" w:hint="cs"/>
          <w:sz w:val="24"/>
          <w:szCs w:val="24"/>
          <w:rtl/>
        </w:rPr>
        <w:t>ש</w:t>
      </w:r>
      <w:r>
        <w:rPr>
          <w:rFonts w:cs="David" w:hint="cs"/>
          <w:sz w:val="24"/>
          <w:szCs w:val="24"/>
          <w:rtl/>
        </w:rPr>
        <w:t>התלונן על מארגן ותלונת</w:t>
      </w:r>
      <w:r w:rsidR="000300FE">
        <w:rPr>
          <w:rFonts w:cs="David" w:hint="cs"/>
          <w:sz w:val="24"/>
          <w:szCs w:val="24"/>
          <w:rtl/>
        </w:rPr>
        <w:t>ו</w:t>
      </w:r>
      <w:r>
        <w:rPr>
          <w:rFonts w:cs="David" w:hint="cs"/>
          <w:sz w:val="24"/>
          <w:szCs w:val="24"/>
          <w:rtl/>
        </w:rPr>
        <w:t xml:space="preserve"> נדחתה בגלל ההסדר לעיל, מעוניין לתקוף את ההסדר מבחינה משפטית.</w:t>
      </w:r>
    </w:p>
    <w:p w:rsidR="00E900FF" w:rsidRDefault="005203AA" w:rsidP="00D8792D">
      <w:pPr>
        <w:jc w:val="both"/>
        <w:rPr>
          <w:rFonts w:cs="David"/>
          <w:sz w:val="24"/>
          <w:szCs w:val="24"/>
          <w:rtl/>
        </w:rPr>
      </w:pPr>
      <w:r>
        <w:rPr>
          <w:rFonts w:cs="David" w:hint="cs"/>
          <w:sz w:val="24"/>
          <w:szCs w:val="24"/>
          <w:rtl/>
        </w:rPr>
        <w:t>נתחו את הסוגיות העולות במקרה זה תוך ציון</w:t>
      </w:r>
      <w:r w:rsidR="00E900FF">
        <w:rPr>
          <w:rFonts w:cs="David" w:hint="cs"/>
          <w:sz w:val="24"/>
          <w:szCs w:val="24"/>
          <w:rtl/>
        </w:rPr>
        <w:t>:</w:t>
      </w:r>
    </w:p>
    <w:p w:rsidR="00E900FF" w:rsidRDefault="005203AA" w:rsidP="00D8792D">
      <w:pPr>
        <w:pStyle w:val="a3"/>
        <w:numPr>
          <w:ilvl w:val="0"/>
          <w:numId w:val="21"/>
        </w:numPr>
        <w:jc w:val="both"/>
        <w:rPr>
          <w:rFonts w:cs="David"/>
          <w:sz w:val="24"/>
          <w:szCs w:val="24"/>
        </w:rPr>
      </w:pPr>
      <w:r w:rsidRPr="00E900FF">
        <w:rPr>
          <w:rFonts w:cs="David" w:hint="cs"/>
          <w:b/>
          <w:bCs/>
          <w:sz w:val="24"/>
          <w:szCs w:val="24"/>
          <w:rtl/>
        </w:rPr>
        <w:t>צורות הרגולציה</w:t>
      </w:r>
      <w:r w:rsidRPr="00E900FF">
        <w:rPr>
          <w:rFonts w:cs="David" w:hint="cs"/>
          <w:sz w:val="24"/>
          <w:szCs w:val="24"/>
          <w:rtl/>
        </w:rPr>
        <w:t xml:space="preserve"> הקיימות בו (10 נק')</w:t>
      </w:r>
    </w:p>
    <w:p w:rsidR="00E900FF" w:rsidRDefault="005203AA" w:rsidP="00D8792D">
      <w:pPr>
        <w:pStyle w:val="a3"/>
        <w:numPr>
          <w:ilvl w:val="0"/>
          <w:numId w:val="21"/>
        </w:numPr>
        <w:jc w:val="both"/>
        <w:rPr>
          <w:rFonts w:cs="David"/>
          <w:sz w:val="24"/>
          <w:szCs w:val="24"/>
        </w:rPr>
      </w:pPr>
      <w:r w:rsidRPr="00E900FF">
        <w:rPr>
          <w:rFonts w:cs="David" w:hint="cs"/>
          <w:b/>
          <w:bCs/>
          <w:sz w:val="24"/>
          <w:szCs w:val="24"/>
          <w:rtl/>
        </w:rPr>
        <w:t xml:space="preserve">ההצדקות </w:t>
      </w:r>
      <w:r w:rsidR="009D1D72">
        <w:rPr>
          <w:rFonts w:cs="David" w:hint="cs"/>
          <w:b/>
          <w:bCs/>
          <w:sz w:val="24"/>
          <w:szCs w:val="24"/>
          <w:rtl/>
        </w:rPr>
        <w:t>לחקיקת החוק</w:t>
      </w:r>
      <w:r w:rsidRPr="00E900FF">
        <w:rPr>
          <w:rFonts w:cs="David" w:hint="cs"/>
          <w:sz w:val="24"/>
          <w:szCs w:val="24"/>
          <w:rtl/>
        </w:rPr>
        <w:t xml:space="preserve"> (10 נק'). </w:t>
      </w:r>
    </w:p>
    <w:p w:rsidR="00E900FF" w:rsidRDefault="005203AA" w:rsidP="00D8792D">
      <w:pPr>
        <w:pStyle w:val="a3"/>
        <w:numPr>
          <w:ilvl w:val="0"/>
          <w:numId w:val="21"/>
        </w:numPr>
        <w:jc w:val="both"/>
        <w:rPr>
          <w:rFonts w:cs="David"/>
          <w:sz w:val="24"/>
          <w:szCs w:val="24"/>
        </w:rPr>
      </w:pPr>
      <w:r w:rsidRPr="00E900FF">
        <w:rPr>
          <w:rFonts w:cs="David" w:hint="cs"/>
          <w:sz w:val="24"/>
          <w:szCs w:val="24"/>
          <w:rtl/>
        </w:rPr>
        <w:t xml:space="preserve">נתחו את </w:t>
      </w:r>
      <w:r w:rsidRPr="00E900FF">
        <w:rPr>
          <w:rFonts w:cs="David" w:hint="cs"/>
          <w:b/>
          <w:bCs/>
          <w:sz w:val="24"/>
          <w:szCs w:val="24"/>
          <w:rtl/>
        </w:rPr>
        <w:t>היתרונות והחסרונות</w:t>
      </w:r>
      <w:r w:rsidRPr="00E900FF">
        <w:rPr>
          <w:rFonts w:cs="David" w:hint="cs"/>
          <w:sz w:val="24"/>
          <w:szCs w:val="24"/>
          <w:rtl/>
        </w:rPr>
        <w:t xml:space="preserve"> של </w:t>
      </w:r>
      <w:r w:rsidR="00E900FF" w:rsidRPr="009D1D72">
        <w:rPr>
          <w:rFonts w:cs="David" w:hint="cs"/>
          <w:b/>
          <w:bCs/>
          <w:sz w:val="24"/>
          <w:szCs w:val="24"/>
          <w:rtl/>
        </w:rPr>
        <w:t>ה</w:t>
      </w:r>
      <w:r w:rsidRPr="009D1D72">
        <w:rPr>
          <w:rFonts w:cs="David" w:hint="cs"/>
          <w:b/>
          <w:bCs/>
          <w:sz w:val="24"/>
          <w:szCs w:val="24"/>
          <w:rtl/>
        </w:rPr>
        <w:t>הס</w:t>
      </w:r>
      <w:r w:rsidR="00E900FF" w:rsidRPr="009D1D72">
        <w:rPr>
          <w:rFonts w:cs="David" w:hint="cs"/>
          <w:b/>
          <w:bCs/>
          <w:sz w:val="24"/>
          <w:szCs w:val="24"/>
          <w:rtl/>
        </w:rPr>
        <w:t>כם</w:t>
      </w:r>
      <w:r w:rsidR="00E900FF" w:rsidRPr="00E900FF">
        <w:rPr>
          <w:rFonts w:cs="David" w:hint="cs"/>
          <w:sz w:val="24"/>
          <w:szCs w:val="24"/>
          <w:rtl/>
        </w:rPr>
        <w:t xml:space="preserve"> בין הרשות לבין הדיירים </w:t>
      </w:r>
      <w:r w:rsidRPr="00E900FF">
        <w:rPr>
          <w:rFonts w:cs="David" w:hint="cs"/>
          <w:sz w:val="24"/>
          <w:szCs w:val="24"/>
          <w:rtl/>
        </w:rPr>
        <w:t xml:space="preserve"> (10 נק').</w:t>
      </w:r>
      <w:r w:rsidR="00F22E6B" w:rsidRPr="00E900FF">
        <w:rPr>
          <w:rFonts w:cs="David" w:hint="cs"/>
          <w:sz w:val="24"/>
          <w:szCs w:val="24"/>
          <w:rtl/>
        </w:rPr>
        <w:t xml:space="preserve"> </w:t>
      </w:r>
    </w:p>
    <w:p w:rsidR="005203AA" w:rsidRPr="00E900FF" w:rsidRDefault="00F22E6B" w:rsidP="00D8792D">
      <w:pPr>
        <w:pStyle w:val="a3"/>
        <w:numPr>
          <w:ilvl w:val="0"/>
          <w:numId w:val="21"/>
        </w:numPr>
        <w:jc w:val="both"/>
        <w:rPr>
          <w:rFonts w:cs="David"/>
          <w:sz w:val="24"/>
          <w:szCs w:val="24"/>
          <w:rtl/>
        </w:rPr>
      </w:pPr>
      <w:r w:rsidRPr="00E900FF">
        <w:rPr>
          <w:rFonts w:cs="David" w:hint="cs"/>
          <w:sz w:val="24"/>
          <w:szCs w:val="24"/>
          <w:rtl/>
        </w:rPr>
        <w:t>מה יכול הדייר לטעון כנגד ההסכמה בין הרשות להתחדשות עירונית לבין ארגון "התחדשות הוגנת"</w:t>
      </w:r>
      <w:r w:rsidR="00E900FF">
        <w:rPr>
          <w:rFonts w:cs="David" w:hint="cs"/>
          <w:sz w:val="24"/>
          <w:szCs w:val="24"/>
          <w:rtl/>
        </w:rPr>
        <w:t xml:space="preserve"> (10 נק')</w:t>
      </w:r>
      <w:r w:rsidRPr="00E900FF">
        <w:rPr>
          <w:rFonts w:cs="David" w:hint="cs"/>
          <w:sz w:val="24"/>
          <w:szCs w:val="24"/>
          <w:rtl/>
        </w:rPr>
        <w:t>.</w:t>
      </w:r>
    </w:p>
    <w:p w:rsidR="00F22E6B" w:rsidRPr="00300478" w:rsidRDefault="00300478" w:rsidP="00D8792D">
      <w:pPr>
        <w:jc w:val="both"/>
        <w:rPr>
          <w:rFonts w:cs="David"/>
          <w:b/>
          <w:bCs/>
          <w:sz w:val="24"/>
          <w:szCs w:val="24"/>
          <w:rtl/>
        </w:rPr>
      </w:pPr>
      <w:r>
        <w:rPr>
          <w:rFonts w:cs="David" w:hint="cs"/>
          <w:b/>
          <w:bCs/>
          <w:sz w:val="24"/>
          <w:szCs w:val="24"/>
          <w:rtl/>
        </w:rPr>
        <w:t>נקודות לפיתרון:</w:t>
      </w:r>
    </w:p>
    <w:p w:rsidR="00E900FF" w:rsidRPr="00E900FF" w:rsidRDefault="00E900FF" w:rsidP="00D8792D">
      <w:pPr>
        <w:jc w:val="both"/>
        <w:rPr>
          <w:rFonts w:cs="David"/>
          <w:sz w:val="24"/>
          <w:szCs w:val="24"/>
          <w:u w:val="single"/>
          <w:rtl/>
        </w:rPr>
      </w:pPr>
      <w:r w:rsidRPr="00E900FF">
        <w:rPr>
          <w:rFonts w:cs="David" w:hint="cs"/>
          <w:sz w:val="24"/>
          <w:szCs w:val="24"/>
          <w:u w:val="single"/>
          <w:rtl/>
        </w:rPr>
        <w:t>מופעים (10 נק'):</w:t>
      </w:r>
    </w:p>
    <w:p w:rsidR="00E900FF" w:rsidRDefault="00E900FF" w:rsidP="00D8792D">
      <w:pPr>
        <w:jc w:val="both"/>
        <w:rPr>
          <w:rFonts w:cs="David"/>
          <w:sz w:val="24"/>
          <w:szCs w:val="24"/>
          <w:rtl/>
        </w:rPr>
      </w:pPr>
      <w:r>
        <w:rPr>
          <w:rFonts w:cs="David" w:hint="cs"/>
          <w:sz w:val="24"/>
          <w:szCs w:val="24"/>
          <w:rtl/>
        </w:rPr>
        <w:t>ציווי ושליטה (החוק והמנגנון שהוא קובע)</w:t>
      </w:r>
    </w:p>
    <w:p w:rsidR="00E900FF" w:rsidRDefault="00E900FF" w:rsidP="00D8792D">
      <w:pPr>
        <w:jc w:val="both"/>
        <w:rPr>
          <w:rFonts w:cs="David"/>
          <w:sz w:val="24"/>
          <w:szCs w:val="24"/>
          <w:rtl/>
        </w:rPr>
      </w:pPr>
      <w:r>
        <w:rPr>
          <w:rFonts w:cs="David" w:hint="cs"/>
          <w:sz w:val="24"/>
          <w:szCs w:val="24"/>
          <w:rtl/>
        </w:rPr>
        <w:t>רגולציה פרטית של ארגון אזרחי הקובע סטנדרטים וולונטריים ו"תו תקן" פרטי.</w:t>
      </w:r>
    </w:p>
    <w:p w:rsidR="00E900FF" w:rsidRDefault="00E900FF" w:rsidP="00D8792D">
      <w:pPr>
        <w:jc w:val="both"/>
        <w:rPr>
          <w:rFonts w:cs="David"/>
          <w:sz w:val="24"/>
          <w:szCs w:val="24"/>
          <w:rtl/>
        </w:rPr>
      </w:pPr>
      <w:r>
        <w:rPr>
          <w:rFonts w:cs="David" w:hint="cs"/>
          <w:sz w:val="24"/>
          <w:szCs w:val="24"/>
          <w:rtl/>
        </w:rPr>
        <w:t>הסכם רגולטורי בין המדינה לבין ארגון חברה אזרחית המשפיע על דרך הפעלת סמכויות המדינה</w:t>
      </w:r>
    </w:p>
    <w:p w:rsidR="00E900FF" w:rsidRDefault="00E900FF" w:rsidP="009D1D72">
      <w:pPr>
        <w:jc w:val="both"/>
        <w:rPr>
          <w:rFonts w:cs="David"/>
          <w:sz w:val="24"/>
          <w:szCs w:val="24"/>
          <w:rtl/>
        </w:rPr>
      </w:pPr>
      <w:r>
        <w:rPr>
          <w:rFonts w:cs="David" w:hint="cs"/>
          <w:sz w:val="24"/>
          <w:szCs w:val="24"/>
          <w:rtl/>
        </w:rPr>
        <w:t>יש לשים לב שהחקיקה נועדה להגן על הדיירים באמצעות רגולציה של מארגנים (שהם המפוקחים).  ארגון "התחדשות הוגנת" אינו  ארגון של מפוקחים  אלא ארגון חברה אזרחית האמור לפעול לטובת הדיירים. יש לנו כאן הסכם רגולטורי עם ארגון שלא מייצג את המפוקחים (זה בדרך כלל המצב בהסכם רגולטורי) ו</w:t>
      </w:r>
      <w:r w:rsidR="009D1D72">
        <w:rPr>
          <w:rFonts w:cs="David" w:hint="cs"/>
          <w:sz w:val="24"/>
          <w:szCs w:val="24"/>
          <w:rtl/>
        </w:rPr>
        <w:t>ל</w:t>
      </w:r>
      <w:r>
        <w:rPr>
          <w:rFonts w:cs="David" w:hint="cs"/>
          <w:sz w:val="24"/>
          <w:szCs w:val="24"/>
          <w:rtl/>
        </w:rPr>
        <w:t>כן</w:t>
      </w:r>
      <w:r w:rsidR="00D417D1">
        <w:rPr>
          <w:rFonts w:cs="David" w:hint="cs"/>
          <w:sz w:val="24"/>
          <w:szCs w:val="24"/>
          <w:rtl/>
        </w:rPr>
        <w:t xml:space="preserve"> מדובר בהסכם רגולטורי קצת חריג.</w:t>
      </w:r>
    </w:p>
    <w:p w:rsidR="00E900FF" w:rsidRPr="007E4C8C" w:rsidRDefault="00E900FF" w:rsidP="00D8792D">
      <w:pPr>
        <w:jc w:val="both"/>
        <w:rPr>
          <w:rFonts w:cs="David"/>
          <w:sz w:val="24"/>
          <w:szCs w:val="24"/>
          <w:u w:val="single"/>
          <w:rtl/>
        </w:rPr>
      </w:pPr>
      <w:r w:rsidRPr="007E4C8C">
        <w:rPr>
          <w:rFonts w:cs="David" w:hint="cs"/>
          <w:sz w:val="24"/>
          <w:szCs w:val="24"/>
          <w:u w:val="single"/>
          <w:rtl/>
        </w:rPr>
        <w:t>הצדקות (10 נק'):</w:t>
      </w:r>
    </w:p>
    <w:p w:rsidR="00E900FF" w:rsidRPr="007E4C8C" w:rsidRDefault="00E900FF" w:rsidP="00D8792D">
      <w:pPr>
        <w:jc w:val="both"/>
        <w:rPr>
          <w:rFonts w:cs="David"/>
          <w:sz w:val="24"/>
          <w:szCs w:val="24"/>
          <w:rtl/>
        </w:rPr>
      </w:pPr>
      <w:r w:rsidRPr="007E4C8C">
        <w:rPr>
          <w:rFonts w:cs="David" w:hint="cs"/>
          <w:sz w:val="24"/>
          <w:szCs w:val="24"/>
          <w:rtl/>
        </w:rPr>
        <w:t xml:space="preserve">ציווי ושליטה: הצדקה חברתית </w:t>
      </w:r>
      <w:r w:rsidRPr="007E4C8C">
        <w:rPr>
          <w:rFonts w:cs="David"/>
          <w:sz w:val="24"/>
          <w:szCs w:val="24"/>
          <w:rtl/>
        </w:rPr>
        <w:t>–</w:t>
      </w:r>
      <w:r w:rsidRPr="007E4C8C">
        <w:rPr>
          <w:rFonts w:cs="David" w:hint="cs"/>
          <w:sz w:val="24"/>
          <w:szCs w:val="24"/>
          <w:rtl/>
        </w:rPr>
        <w:t xml:space="preserve"> להגן על קבוצה חלשה (דיירים), פערי ידע וכוח (כלכלי) בעסקה במקרקעין.</w:t>
      </w:r>
    </w:p>
    <w:p w:rsidR="00E900FF" w:rsidRPr="00863B48" w:rsidRDefault="00E900FF" w:rsidP="00D8792D">
      <w:pPr>
        <w:jc w:val="both"/>
        <w:rPr>
          <w:rFonts w:cs="David"/>
          <w:sz w:val="24"/>
          <w:szCs w:val="24"/>
          <w:u w:val="single"/>
          <w:rtl/>
        </w:rPr>
      </w:pPr>
      <w:r w:rsidRPr="00863B48">
        <w:rPr>
          <w:rFonts w:cs="David" w:hint="cs"/>
          <w:sz w:val="24"/>
          <w:szCs w:val="24"/>
          <w:u w:val="single"/>
          <w:rtl/>
        </w:rPr>
        <w:t>יתרונות וחסרונות של ההסדר (10 נק'):</w:t>
      </w:r>
    </w:p>
    <w:p w:rsidR="00E900FF" w:rsidRPr="007E4C8C" w:rsidRDefault="00E900FF" w:rsidP="00D8792D">
      <w:pPr>
        <w:jc w:val="both"/>
        <w:rPr>
          <w:rFonts w:cs="David"/>
          <w:sz w:val="24"/>
          <w:szCs w:val="24"/>
          <w:rtl/>
        </w:rPr>
      </w:pPr>
      <w:r w:rsidRPr="007E4C8C">
        <w:rPr>
          <w:rFonts w:cs="David" w:hint="cs"/>
          <w:sz w:val="24"/>
          <w:szCs w:val="24"/>
          <w:rtl/>
        </w:rPr>
        <w:t xml:space="preserve">יתרון הוא שיש גוף אשר קובע סטנדרטים גבוהים יותר למארגנים במצב בו המדינה לא קבעה חובת רישוי, עידוד מארגנים לאמץ קוד אתי מחייב, דיירים יכולים לדרוש/להעדיף מארגן שיש לו תו תקן </w:t>
      </w:r>
      <w:proofErr w:type="spellStart"/>
      <w:r w:rsidRPr="007E4C8C">
        <w:rPr>
          <w:rFonts w:cs="David" w:hint="cs"/>
          <w:sz w:val="24"/>
          <w:szCs w:val="24"/>
          <w:rtl/>
        </w:rPr>
        <w:t>וכיוב</w:t>
      </w:r>
      <w:proofErr w:type="spellEnd"/>
      <w:r w:rsidRPr="007E4C8C">
        <w:rPr>
          <w:rFonts w:cs="David" w:hint="cs"/>
          <w:sz w:val="24"/>
          <w:szCs w:val="24"/>
          <w:rtl/>
        </w:rPr>
        <w:t>'.</w:t>
      </w:r>
    </w:p>
    <w:p w:rsidR="00E900FF" w:rsidRPr="007E4C8C" w:rsidRDefault="00E900FF" w:rsidP="00D8792D">
      <w:pPr>
        <w:jc w:val="both"/>
        <w:rPr>
          <w:rFonts w:cs="David"/>
          <w:sz w:val="24"/>
          <w:szCs w:val="24"/>
          <w:rtl/>
        </w:rPr>
      </w:pPr>
      <w:r w:rsidRPr="007E4C8C">
        <w:rPr>
          <w:rFonts w:cs="David" w:hint="cs"/>
          <w:sz w:val="24"/>
          <w:szCs w:val="24"/>
          <w:rtl/>
        </w:rPr>
        <w:t xml:space="preserve">חסרונות: לגיטימציה </w:t>
      </w:r>
      <w:r w:rsidRPr="007E4C8C">
        <w:rPr>
          <w:rFonts w:cs="David"/>
          <w:sz w:val="24"/>
          <w:szCs w:val="24"/>
          <w:rtl/>
        </w:rPr>
        <w:t>–</w:t>
      </w:r>
      <w:r w:rsidRPr="007E4C8C">
        <w:rPr>
          <w:rFonts w:cs="David" w:hint="cs"/>
          <w:sz w:val="24"/>
          <w:szCs w:val="24"/>
          <w:rtl/>
        </w:rPr>
        <w:t xml:space="preserve"> אף אחד לא בודק את הקוד, מי הסמיך את הארגון, ההתקשרות מקשה על מימוש </w:t>
      </w:r>
      <w:r w:rsidR="007F468D" w:rsidRPr="007E4C8C">
        <w:rPr>
          <w:rFonts w:cs="David" w:hint="cs"/>
          <w:sz w:val="24"/>
          <w:szCs w:val="24"/>
          <w:rtl/>
        </w:rPr>
        <w:t>תלונה נגד מארגן, עלולה לגרום למד</w:t>
      </w:r>
      <w:r w:rsidRPr="007E4C8C">
        <w:rPr>
          <w:rFonts w:cs="David" w:hint="cs"/>
          <w:sz w:val="24"/>
          <w:szCs w:val="24"/>
          <w:rtl/>
        </w:rPr>
        <w:t xml:space="preserve">ינה להסיר אחריות... </w:t>
      </w:r>
      <w:proofErr w:type="spellStart"/>
      <w:r w:rsidRPr="007E4C8C">
        <w:rPr>
          <w:rFonts w:cs="David" w:hint="cs"/>
          <w:sz w:val="24"/>
          <w:szCs w:val="24"/>
          <w:rtl/>
        </w:rPr>
        <w:t>וכיוב</w:t>
      </w:r>
      <w:proofErr w:type="spellEnd"/>
      <w:r w:rsidRPr="007E4C8C">
        <w:rPr>
          <w:rFonts w:cs="David" w:hint="cs"/>
          <w:sz w:val="24"/>
          <w:szCs w:val="24"/>
          <w:rtl/>
        </w:rPr>
        <w:t xml:space="preserve">'. </w:t>
      </w:r>
    </w:p>
    <w:p w:rsidR="00E900FF" w:rsidRPr="007E4C8C" w:rsidRDefault="00E900FF" w:rsidP="00D8792D">
      <w:pPr>
        <w:jc w:val="both"/>
        <w:rPr>
          <w:rFonts w:cs="David"/>
          <w:sz w:val="24"/>
          <w:szCs w:val="24"/>
          <w:u w:val="single"/>
          <w:rtl/>
        </w:rPr>
      </w:pPr>
      <w:r w:rsidRPr="007E4C8C">
        <w:rPr>
          <w:rFonts w:cs="David" w:hint="cs"/>
          <w:sz w:val="24"/>
          <w:szCs w:val="24"/>
          <w:u w:val="single"/>
          <w:rtl/>
        </w:rPr>
        <w:t>ניתוח משפטי (10 נק'):</w:t>
      </w:r>
    </w:p>
    <w:p w:rsidR="00E900FF" w:rsidRDefault="00E900FF" w:rsidP="00D336E4">
      <w:pPr>
        <w:jc w:val="both"/>
        <w:rPr>
          <w:rFonts w:cs="David"/>
          <w:sz w:val="24"/>
          <w:szCs w:val="24"/>
          <w:rtl/>
        </w:rPr>
      </w:pPr>
      <w:r w:rsidRPr="007E4C8C">
        <w:rPr>
          <w:rFonts w:cs="David" w:hint="cs"/>
          <w:sz w:val="24"/>
          <w:szCs w:val="24"/>
          <w:rtl/>
        </w:rPr>
        <w:t>מתעוררת בעיית סמכות</w:t>
      </w:r>
      <w:r w:rsidR="00D336E4">
        <w:rPr>
          <w:rFonts w:cs="David" w:hint="cs"/>
          <w:sz w:val="24"/>
          <w:szCs w:val="24"/>
          <w:rtl/>
        </w:rPr>
        <w:t xml:space="preserve"> מכוח דיני המשפט </w:t>
      </w:r>
      <w:proofErr w:type="spellStart"/>
      <w:r w:rsidR="00D336E4">
        <w:rPr>
          <w:rFonts w:cs="David" w:hint="cs"/>
          <w:sz w:val="24"/>
          <w:szCs w:val="24"/>
          <w:rtl/>
        </w:rPr>
        <w:t>המינהלי</w:t>
      </w:r>
      <w:proofErr w:type="spellEnd"/>
      <w:r w:rsidRPr="007E4C8C">
        <w:rPr>
          <w:rFonts w:cs="David" w:hint="cs"/>
          <w:sz w:val="24"/>
          <w:szCs w:val="24"/>
          <w:rtl/>
        </w:rPr>
        <w:t>. ל</w:t>
      </w:r>
      <w:r w:rsidR="009D1D72" w:rsidRPr="007E4C8C">
        <w:rPr>
          <w:rFonts w:cs="David" w:hint="cs"/>
          <w:sz w:val="24"/>
          <w:szCs w:val="24"/>
          <w:rtl/>
        </w:rPr>
        <w:t>פ</w:t>
      </w:r>
      <w:r w:rsidRPr="007E4C8C">
        <w:rPr>
          <w:rFonts w:cs="David" w:hint="cs"/>
          <w:sz w:val="24"/>
          <w:szCs w:val="24"/>
          <w:rtl/>
        </w:rPr>
        <w:t xml:space="preserve">י החוק לרשות להתחדשות עירונית יש סמכות לברר תלונות, </w:t>
      </w:r>
      <w:r w:rsidR="00D336E4">
        <w:rPr>
          <w:rFonts w:cs="David" w:hint="cs"/>
          <w:sz w:val="24"/>
          <w:szCs w:val="24"/>
          <w:rtl/>
        </w:rPr>
        <w:t>אך ב</w:t>
      </w:r>
      <w:r w:rsidRPr="007E4C8C">
        <w:rPr>
          <w:rFonts w:cs="David" w:hint="cs"/>
          <w:sz w:val="24"/>
          <w:szCs w:val="24"/>
          <w:rtl/>
        </w:rPr>
        <w:t>מקרה זה לא ברור אם המדינה יכולה להתנער מסמכותה החוקית באמצעות התקשרות לא רשמית, הסכם רגולטורי, בו היא מתחייבת להפעיל סמכות בדרך שונה מזו הקיימת בדרך כלל.</w:t>
      </w:r>
      <w:r>
        <w:rPr>
          <w:rFonts w:cs="David" w:hint="cs"/>
          <w:sz w:val="24"/>
          <w:szCs w:val="24"/>
          <w:rtl/>
        </w:rPr>
        <w:t xml:space="preserve"> </w:t>
      </w:r>
      <w:r w:rsidR="00D336E4">
        <w:rPr>
          <w:rFonts w:cs="David" w:hint="cs"/>
          <w:sz w:val="24"/>
          <w:szCs w:val="24"/>
          <w:rtl/>
        </w:rPr>
        <w:t>סוגיה זו אינה פתורה בפסיקה</w:t>
      </w:r>
      <w:r w:rsidR="00343A0D">
        <w:rPr>
          <w:rFonts w:cs="David" w:hint="cs"/>
          <w:sz w:val="24"/>
          <w:szCs w:val="24"/>
          <w:rtl/>
        </w:rPr>
        <w:t>.</w:t>
      </w:r>
    </w:p>
    <w:p w:rsidR="00E900FF" w:rsidRDefault="00E900FF" w:rsidP="00D8792D">
      <w:pPr>
        <w:jc w:val="both"/>
        <w:rPr>
          <w:rFonts w:cs="David"/>
          <w:sz w:val="24"/>
          <w:szCs w:val="24"/>
          <w:rtl/>
        </w:rPr>
      </w:pPr>
    </w:p>
    <w:p w:rsidR="00CF4E3E" w:rsidRPr="00081392" w:rsidRDefault="006569B6" w:rsidP="00D8792D">
      <w:pPr>
        <w:jc w:val="both"/>
        <w:rPr>
          <w:rFonts w:cs="David"/>
          <w:b/>
          <w:bCs/>
          <w:sz w:val="24"/>
          <w:szCs w:val="24"/>
          <w:u w:val="single"/>
          <w:rtl/>
        </w:rPr>
      </w:pPr>
      <w:r w:rsidRPr="00081392">
        <w:rPr>
          <w:rFonts w:cs="David" w:hint="cs"/>
          <w:b/>
          <w:bCs/>
          <w:sz w:val="24"/>
          <w:szCs w:val="24"/>
          <w:u w:val="single"/>
          <w:rtl/>
        </w:rPr>
        <w:t>חלק 4 (</w:t>
      </w:r>
      <w:r w:rsidR="00F22E6B">
        <w:rPr>
          <w:rFonts w:cs="David" w:hint="cs"/>
          <w:b/>
          <w:bCs/>
          <w:sz w:val="24"/>
          <w:szCs w:val="24"/>
          <w:u w:val="single"/>
          <w:rtl/>
        </w:rPr>
        <w:t>10</w:t>
      </w:r>
      <w:r w:rsidRPr="00081392">
        <w:rPr>
          <w:rFonts w:cs="David" w:hint="cs"/>
          <w:b/>
          <w:bCs/>
          <w:sz w:val="24"/>
          <w:szCs w:val="24"/>
          <w:u w:val="single"/>
          <w:rtl/>
        </w:rPr>
        <w:t xml:space="preserve"> נק')</w:t>
      </w:r>
    </w:p>
    <w:p w:rsidR="00040F40" w:rsidRDefault="00E900FF" w:rsidP="00D8792D">
      <w:pPr>
        <w:jc w:val="both"/>
        <w:rPr>
          <w:rFonts w:cs="David"/>
          <w:sz w:val="24"/>
          <w:szCs w:val="24"/>
          <w:rtl/>
        </w:rPr>
      </w:pPr>
      <w:r>
        <w:rPr>
          <w:rFonts w:cs="David" w:hint="cs"/>
          <w:sz w:val="24"/>
          <w:szCs w:val="24"/>
          <w:rtl/>
        </w:rPr>
        <w:t xml:space="preserve">ממשלת ישראל מעוניינת להקטין את מספר התאונות באופניים חשמליים. הציעו בקצרה שלושה אמצעים שביכולתה לנקוט על מנת להשיג מטרה זו, הן אמצעים שהם בבחינת רגולציה והן אמצעים אחרים. </w:t>
      </w:r>
    </w:p>
    <w:p w:rsidR="00863B48" w:rsidRPr="00863B48" w:rsidRDefault="00863B48" w:rsidP="00D8792D">
      <w:pPr>
        <w:jc w:val="both"/>
        <w:rPr>
          <w:rFonts w:cs="David"/>
          <w:sz w:val="24"/>
          <w:szCs w:val="24"/>
        </w:rPr>
      </w:pPr>
      <w:r>
        <w:rPr>
          <w:rFonts w:cs="David" w:hint="cs"/>
          <w:b/>
          <w:bCs/>
          <w:sz w:val="24"/>
          <w:szCs w:val="24"/>
          <w:rtl/>
        </w:rPr>
        <w:t>נקודות לפתרון:</w:t>
      </w:r>
      <w:r>
        <w:rPr>
          <w:rFonts w:cs="David" w:hint="cs"/>
          <w:sz w:val="24"/>
          <w:szCs w:val="24"/>
          <w:rtl/>
        </w:rPr>
        <w:t xml:space="preserve"> התקבלו מגוון אמצעים, רגולטורים ולא רגולטורים.</w:t>
      </w:r>
    </w:p>
    <w:p w:rsidR="007F468D" w:rsidRDefault="007F468D" w:rsidP="00D8792D">
      <w:pPr>
        <w:jc w:val="both"/>
        <w:rPr>
          <w:rFonts w:cs="David"/>
          <w:b/>
          <w:bCs/>
          <w:sz w:val="24"/>
          <w:szCs w:val="24"/>
          <w:rtl/>
        </w:rPr>
      </w:pPr>
    </w:p>
    <w:p w:rsidR="005F02AB" w:rsidRPr="00CD72C2" w:rsidRDefault="00CD72C2" w:rsidP="00D8792D">
      <w:pPr>
        <w:tabs>
          <w:tab w:val="left" w:pos="991"/>
        </w:tabs>
        <w:jc w:val="both"/>
        <w:rPr>
          <w:rFonts w:cs="David"/>
          <w:sz w:val="24"/>
          <w:szCs w:val="24"/>
          <w:rtl/>
        </w:rPr>
      </w:pPr>
      <w:r>
        <w:rPr>
          <w:rFonts w:cs="David"/>
          <w:sz w:val="24"/>
          <w:szCs w:val="24"/>
          <w:rtl/>
        </w:rPr>
        <w:tab/>
      </w:r>
    </w:p>
    <w:sectPr w:rsidR="005F02AB" w:rsidRPr="00CD72C2" w:rsidSect="00A10875">
      <w:footerReference w:type="default" r:id="rId8"/>
      <w:pgSz w:w="11906" w:h="16838"/>
      <w:pgMar w:top="1440" w:right="1800" w:bottom="1440" w:left="1985"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E5" w:rsidRDefault="00576AE5" w:rsidP="0041767C">
      <w:pPr>
        <w:spacing w:after="0" w:line="240" w:lineRule="auto"/>
      </w:pPr>
      <w:r>
        <w:separator/>
      </w:r>
    </w:p>
  </w:endnote>
  <w:endnote w:type="continuationSeparator" w:id="0">
    <w:p w:rsidR="00576AE5" w:rsidRDefault="00576AE5" w:rsidP="0041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3745893"/>
      <w:docPartObj>
        <w:docPartGallery w:val="Page Numbers (Bottom of Page)"/>
        <w:docPartUnique/>
      </w:docPartObj>
    </w:sdtPr>
    <w:sdtEndPr>
      <w:rPr>
        <w:noProof/>
      </w:rPr>
    </w:sdtEndPr>
    <w:sdtContent>
      <w:p w:rsidR="00DE1217" w:rsidRDefault="00533068">
        <w:pPr>
          <w:pStyle w:val="ad"/>
          <w:jc w:val="center"/>
        </w:pPr>
        <w:r>
          <w:fldChar w:fldCharType="begin"/>
        </w:r>
        <w:r w:rsidR="00F47720">
          <w:instrText xml:space="preserve"> PAGE   \* MERGEFORMAT </w:instrText>
        </w:r>
        <w:r>
          <w:fldChar w:fldCharType="separate"/>
        </w:r>
        <w:r w:rsidR="00045FA7">
          <w:rPr>
            <w:noProof/>
            <w:rtl/>
          </w:rPr>
          <w:t>1</w:t>
        </w:r>
        <w:r>
          <w:rPr>
            <w:noProof/>
          </w:rPr>
          <w:fldChar w:fldCharType="end"/>
        </w:r>
      </w:p>
    </w:sdtContent>
  </w:sdt>
  <w:p w:rsidR="00DE1217" w:rsidRDefault="00DE121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E5" w:rsidRDefault="00576AE5" w:rsidP="0041767C">
      <w:pPr>
        <w:spacing w:after="0" w:line="240" w:lineRule="auto"/>
      </w:pPr>
      <w:r>
        <w:separator/>
      </w:r>
    </w:p>
  </w:footnote>
  <w:footnote w:type="continuationSeparator" w:id="0">
    <w:p w:rsidR="00576AE5" w:rsidRDefault="00576AE5" w:rsidP="00417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FEB"/>
    <w:multiLevelType w:val="hybridMultilevel"/>
    <w:tmpl w:val="41BA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256A6"/>
    <w:multiLevelType w:val="hybridMultilevel"/>
    <w:tmpl w:val="AD70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D5E59"/>
    <w:multiLevelType w:val="hybridMultilevel"/>
    <w:tmpl w:val="7D06DAF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F0D40"/>
    <w:multiLevelType w:val="hybridMultilevel"/>
    <w:tmpl w:val="1452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432CE"/>
    <w:multiLevelType w:val="hybridMultilevel"/>
    <w:tmpl w:val="2E666586"/>
    <w:lvl w:ilvl="0" w:tplc="12EA18A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516EA3"/>
    <w:multiLevelType w:val="hybridMultilevel"/>
    <w:tmpl w:val="D1AC62A4"/>
    <w:lvl w:ilvl="0" w:tplc="43022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82DB3"/>
    <w:multiLevelType w:val="hybridMultilevel"/>
    <w:tmpl w:val="F5A2EBC6"/>
    <w:lvl w:ilvl="0" w:tplc="9DF06F5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DA2FF2"/>
    <w:multiLevelType w:val="hybridMultilevel"/>
    <w:tmpl w:val="970643EC"/>
    <w:lvl w:ilvl="0" w:tplc="656EA5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5470F7"/>
    <w:multiLevelType w:val="hybridMultilevel"/>
    <w:tmpl w:val="EEAA719C"/>
    <w:lvl w:ilvl="0" w:tplc="1482151A">
      <w:start w:val="1"/>
      <w:numFmt w:val="hebrew1"/>
      <w:lvlText w:val="%1."/>
      <w:lvlJc w:val="left"/>
      <w:pPr>
        <w:ind w:left="646"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9">
    <w:nsid w:val="4A4338CE"/>
    <w:multiLevelType w:val="hybridMultilevel"/>
    <w:tmpl w:val="31C0EB84"/>
    <w:lvl w:ilvl="0" w:tplc="846E137E">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D10E2"/>
    <w:multiLevelType w:val="hybridMultilevel"/>
    <w:tmpl w:val="3B3E0A5E"/>
    <w:lvl w:ilvl="0" w:tplc="67F0E35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9610ED"/>
    <w:multiLevelType w:val="hybridMultilevel"/>
    <w:tmpl w:val="13B8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A4243"/>
    <w:multiLevelType w:val="hybridMultilevel"/>
    <w:tmpl w:val="8B6A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57178"/>
    <w:multiLevelType w:val="hybridMultilevel"/>
    <w:tmpl w:val="3B3E0A5E"/>
    <w:lvl w:ilvl="0" w:tplc="67F0E35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3B0F0D"/>
    <w:multiLevelType w:val="hybridMultilevel"/>
    <w:tmpl w:val="D48A40FE"/>
    <w:lvl w:ilvl="0" w:tplc="4052E7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F210C"/>
    <w:multiLevelType w:val="hybridMultilevel"/>
    <w:tmpl w:val="937EF4CA"/>
    <w:lvl w:ilvl="0" w:tplc="70363520">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690823"/>
    <w:multiLevelType w:val="hybridMultilevel"/>
    <w:tmpl w:val="E31C43EA"/>
    <w:lvl w:ilvl="0" w:tplc="8D94012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46754F"/>
    <w:multiLevelType w:val="hybridMultilevel"/>
    <w:tmpl w:val="93A23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697C51"/>
    <w:multiLevelType w:val="hybridMultilevel"/>
    <w:tmpl w:val="AFC23770"/>
    <w:lvl w:ilvl="0" w:tplc="FC5C01A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847108"/>
    <w:multiLevelType w:val="hybridMultilevel"/>
    <w:tmpl w:val="EB140BDC"/>
    <w:lvl w:ilvl="0" w:tplc="5A2CC4F8">
      <w:start w:val="1"/>
      <w:numFmt w:val="hebrew1"/>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0">
    <w:nsid w:val="78A81444"/>
    <w:multiLevelType w:val="hybridMultilevel"/>
    <w:tmpl w:val="3DB2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D7634D"/>
    <w:multiLevelType w:val="hybridMultilevel"/>
    <w:tmpl w:val="62327C90"/>
    <w:lvl w:ilvl="0" w:tplc="6FC07DE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6"/>
  </w:num>
  <w:num w:numId="3">
    <w:abstractNumId w:val="21"/>
  </w:num>
  <w:num w:numId="4">
    <w:abstractNumId w:val="4"/>
  </w:num>
  <w:num w:numId="5">
    <w:abstractNumId w:val="18"/>
  </w:num>
  <w:num w:numId="6">
    <w:abstractNumId w:val="16"/>
  </w:num>
  <w:num w:numId="7">
    <w:abstractNumId w:val="13"/>
  </w:num>
  <w:num w:numId="8">
    <w:abstractNumId w:val="3"/>
  </w:num>
  <w:num w:numId="9">
    <w:abstractNumId w:val="1"/>
  </w:num>
  <w:num w:numId="10">
    <w:abstractNumId w:val="9"/>
  </w:num>
  <w:num w:numId="11">
    <w:abstractNumId w:val="15"/>
  </w:num>
  <w:num w:numId="12">
    <w:abstractNumId w:val="10"/>
  </w:num>
  <w:num w:numId="13">
    <w:abstractNumId w:val="20"/>
  </w:num>
  <w:num w:numId="14">
    <w:abstractNumId w:val="11"/>
  </w:num>
  <w:num w:numId="15">
    <w:abstractNumId w:val="0"/>
  </w:num>
  <w:num w:numId="16">
    <w:abstractNumId w:val="19"/>
  </w:num>
  <w:num w:numId="17">
    <w:abstractNumId w:val="7"/>
  </w:num>
  <w:num w:numId="18">
    <w:abstractNumId w:val="8"/>
  </w:num>
  <w:num w:numId="19">
    <w:abstractNumId w:val="2"/>
  </w:num>
  <w:num w:numId="20">
    <w:abstractNumId w:val="5"/>
  </w:num>
  <w:num w:numId="21">
    <w:abstractNumId w:val="14"/>
  </w:num>
  <w:num w:numId="2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taZ">
    <w15:presenceInfo w15:providerId="None" w15:userId="Net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6309"/>
    <w:rsid w:val="0001113B"/>
    <w:rsid w:val="000300FE"/>
    <w:rsid w:val="00040F40"/>
    <w:rsid w:val="00045FA7"/>
    <w:rsid w:val="00080A35"/>
    <w:rsid w:val="00081392"/>
    <w:rsid w:val="00096A56"/>
    <w:rsid w:val="000C0F9E"/>
    <w:rsid w:val="000C7AF4"/>
    <w:rsid w:val="000E3C51"/>
    <w:rsid w:val="000E7841"/>
    <w:rsid w:val="0014627E"/>
    <w:rsid w:val="0015336A"/>
    <w:rsid w:val="00160892"/>
    <w:rsid w:val="00187DA0"/>
    <w:rsid w:val="00190634"/>
    <w:rsid w:val="00196F83"/>
    <w:rsid w:val="001B0B67"/>
    <w:rsid w:val="001B2DA2"/>
    <w:rsid w:val="001C4D18"/>
    <w:rsid w:val="001E7D24"/>
    <w:rsid w:val="002000AC"/>
    <w:rsid w:val="002046AC"/>
    <w:rsid w:val="002164C5"/>
    <w:rsid w:val="00216FC8"/>
    <w:rsid w:val="0025738D"/>
    <w:rsid w:val="002D0672"/>
    <w:rsid w:val="00300478"/>
    <w:rsid w:val="003161A5"/>
    <w:rsid w:val="00335E4B"/>
    <w:rsid w:val="00341E77"/>
    <w:rsid w:val="00343A0D"/>
    <w:rsid w:val="00360651"/>
    <w:rsid w:val="003754E1"/>
    <w:rsid w:val="003A51C3"/>
    <w:rsid w:val="003B2CD1"/>
    <w:rsid w:val="003C2E87"/>
    <w:rsid w:val="003C7152"/>
    <w:rsid w:val="00406876"/>
    <w:rsid w:val="0041767C"/>
    <w:rsid w:val="004232E0"/>
    <w:rsid w:val="00431098"/>
    <w:rsid w:val="004371BE"/>
    <w:rsid w:val="004449C5"/>
    <w:rsid w:val="00511A78"/>
    <w:rsid w:val="005203AA"/>
    <w:rsid w:val="00533068"/>
    <w:rsid w:val="00537390"/>
    <w:rsid w:val="005630AD"/>
    <w:rsid w:val="00575BC4"/>
    <w:rsid w:val="00576AE5"/>
    <w:rsid w:val="005829A1"/>
    <w:rsid w:val="005D19D3"/>
    <w:rsid w:val="005F02AB"/>
    <w:rsid w:val="00600AF1"/>
    <w:rsid w:val="006174D8"/>
    <w:rsid w:val="006569B6"/>
    <w:rsid w:val="00665FE4"/>
    <w:rsid w:val="0067414F"/>
    <w:rsid w:val="006B4E90"/>
    <w:rsid w:val="006E5EC6"/>
    <w:rsid w:val="00702C80"/>
    <w:rsid w:val="007123AB"/>
    <w:rsid w:val="00712D6C"/>
    <w:rsid w:val="0074357A"/>
    <w:rsid w:val="0077280C"/>
    <w:rsid w:val="00794994"/>
    <w:rsid w:val="007C2912"/>
    <w:rsid w:val="007D0F0F"/>
    <w:rsid w:val="007D7697"/>
    <w:rsid w:val="007E4C8C"/>
    <w:rsid w:val="007E76AB"/>
    <w:rsid w:val="007F17B6"/>
    <w:rsid w:val="007F209B"/>
    <w:rsid w:val="007F468D"/>
    <w:rsid w:val="00817F14"/>
    <w:rsid w:val="008317E7"/>
    <w:rsid w:val="00863B48"/>
    <w:rsid w:val="0087207E"/>
    <w:rsid w:val="00895D83"/>
    <w:rsid w:val="008A50EC"/>
    <w:rsid w:val="00953F17"/>
    <w:rsid w:val="00954286"/>
    <w:rsid w:val="00967620"/>
    <w:rsid w:val="009961B4"/>
    <w:rsid w:val="009C011C"/>
    <w:rsid w:val="009C5730"/>
    <w:rsid w:val="009D1D72"/>
    <w:rsid w:val="009F361B"/>
    <w:rsid w:val="00A10875"/>
    <w:rsid w:val="00A14BC5"/>
    <w:rsid w:val="00A2157B"/>
    <w:rsid w:val="00A37B69"/>
    <w:rsid w:val="00A4333C"/>
    <w:rsid w:val="00A54B24"/>
    <w:rsid w:val="00A95260"/>
    <w:rsid w:val="00AA23B6"/>
    <w:rsid w:val="00AC7AFC"/>
    <w:rsid w:val="00AF0009"/>
    <w:rsid w:val="00B55DE6"/>
    <w:rsid w:val="00B809E7"/>
    <w:rsid w:val="00B93D42"/>
    <w:rsid w:val="00BD6F26"/>
    <w:rsid w:val="00BE6D7B"/>
    <w:rsid w:val="00BF45DD"/>
    <w:rsid w:val="00BF7DFE"/>
    <w:rsid w:val="00C23EE5"/>
    <w:rsid w:val="00C40BA7"/>
    <w:rsid w:val="00C56D4B"/>
    <w:rsid w:val="00C9106B"/>
    <w:rsid w:val="00CD72C2"/>
    <w:rsid w:val="00CE03A9"/>
    <w:rsid w:val="00CE4811"/>
    <w:rsid w:val="00CE743A"/>
    <w:rsid w:val="00CF4E3E"/>
    <w:rsid w:val="00D16CF1"/>
    <w:rsid w:val="00D251CB"/>
    <w:rsid w:val="00D336E4"/>
    <w:rsid w:val="00D417D1"/>
    <w:rsid w:val="00D42B85"/>
    <w:rsid w:val="00D61B2B"/>
    <w:rsid w:val="00D77008"/>
    <w:rsid w:val="00D8792D"/>
    <w:rsid w:val="00DA3B31"/>
    <w:rsid w:val="00DA69FC"/>
    <w:rsid w:val="00DE1217"/>
    <w:rsid w:val="00E83CF1"/>
    <w:rsid w:val="00E900FF"/>
    <w:rsid w:val="00EB16AC"/>
    <w:rsid w:val="00EB214A"/>
    <w:rsid w:val="00EF52CE"/>
    <w:rsid w:val="00F061D7"/>
    <w:rsid w:val="00F21B16"/>
    <w:rsid w:val="00F22E6B"/>
    <w:rsid w:val="00F47720"/>
    <w:rsid w:val="00F86309"/>
    <w:rsid w:val="00FB1106"/>
    <w:rsid w:val="00FB14D7"/>
    <w:rsid w:val="00FB5282"/>
    <w:rsid w:val="00FF51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309"/>
    <w:pPr>
      <w:ind w:left="720"/>
      <w:contextualSpacing/>
    </w:pPr>
  </w:style>
  <w:style w:type="character" w:styleId="a4">
    <w:name w:val="annotation reference"/>
    <w:basedOn w:val="a0"/>
    <w:uiPriority w:val="99"/>
    <w:semiHidden/>
    <w:unhideWhenUsed/>
    <w:rsid w:val="00406876"/>
    <w:rPr>
      <w:sz w:val="16"/>
      <w:szCs w:val="16"/>
    </w:rPr>
  </w:style>
  <w:style w:type="paragraph" w:styleId="a5">
    <w:name w:val="annotation text"/>
    <w:basedOn w:val="a"/>
    <w:link w:val="a6"/>
    <w:uiPriority w:val="99"/>
    <w:semiHidden/>
    <w:unhideWhenUsed/>
    <w:rsid w:val="00406876"/>
    <w:pPr>
      <w:spacing w:line="240" w:lineRule="auto"/>
    </w:pPr>
    <w:rPr>
      <w:sz w:val="20"/>
      <w:szCs w:val="20"/>
    </w:rPr>
  </w:style>
  <w:style w:type="character" w:customStyle="1" w:styleId="a6">
    <w:name w:val="טקסט הערה תו"/>
    <w:basedOn w:val="a0"/>
    <w:link w:val="a5"/>
    <w:uiPriority w:val="99"/>
    <w:semiHidden/>
    <w:rsid w:val="00406876"/>
    <w:rPr>
      <w:sz w:val="20"/>
      <w:szCs w:val="20"/>
    </w:rPr>
  </w:style>
  <w:style w:type="paragraph" w:styleId="a7">
    <w:name w:val="annotation subject"/>
    <w:basedOn w:val="a5"/>
    <w:next w:val="a5"/>
    <w:link w:val="a8"/>
    <w:uiPriority w:val="99"/>
    <w:semiHidden/>
    <w:unhideWhenUsed/>
    <w:rsid w:val="00406876"/>
    <w:rPr>
      <w:b/>
      <w:bCs/>
    </w:rPr>
  </w:style>
  <w:style w:type="character" w:customStyle="1" w:styleId="a8">
    <w:name w:val="נושא הערה תו"/>
    <w:basedOn w:val="a6"/>
    <w:link w:val="a7"/>
    <w:uiPriority w:val="99"/>
    <w:semiHidden/>
    <w:rsid w:val="00406876"/>
    <w:rPr>
      <w:b/>
      <w:bCs/>
      <w:sz w:val="20"/>
      <w:szCs w:val="20"/>
    </w:rPr>
  </w:style>
  <w:style w:type="paragraph" w:styleId="a9">
    <w:name w:val="Balloon Text"/>
    <w:basedOn w:val="a"/>
    <w:link w:val="aa"/>
    <w:uiPriority w:val="99"/>
    <w:semiHidden/>
    <w:unhideWhenUsed/>
    <w:rsid w:val="0040687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406876"/>
    <w:rPr>
      <w:rFonts w:ascii="Tahoma" w:hAnsi="Tahoma" w:cs="Tahoma"/>
      <w:sz w:val="16"/>
      <w:szCs w:val="16"/>
    </w:rPr>
  </w:style>
  <w:style w:type="paragraph" w:styleId="ab">
    <w:name w:val="header"/>
    <w:basedOn w:val="a"/>
    <w:link w:val="ac"/>
    <w:uiPriority w:val="99"/>
    <w:unhideWhenUsed/>
    <w:rsid w:val="0041767C"/>
    <w:pPr>
      <w:tabs>
        <w:tab w:val="center" w:pos="4153"/>
        <w:tab w:val="right" w:pos="8306"/>
      </w:tabs>
      <w:spacing w:after="0" w:line="240" w:lineRule="auto"/>
    </w:pPr>
  </w:style>
  <w:style w:type="character" w:customStyle="1" w:styleId="ac">
    <w:name w:val="כותרת עליונה תו"/>
    <w:basedOn w:val="a0"/>
    <w:link w:val="ab"/>
    <w:uiPriority w:val="99"/>
    <w:rsid w:val="0041767C"/>
  </w:style>
  <w:style w:type="paragraph" w:styleId="ad">
    <w:name w:val="footer"/>
    <w:basedOn w:val="a"/>
    <w:link w:val="ae"/>
    <w:uiPriority w:val="99"/>
    <w:unhideWhenUsed/>
    <w:rsid w:val="0041767C"/>
    <w:pPr>
      <w:tabs>
        <w:tab w:val="center" w:pos="4153"/>
        <w:tab w:val="right" w:pos="8306"/>
      </w:tabs>
      <w:spacing w:after="0" w:line="240" w:lineRule="auto"/>
    </w:pPr>
  </w:style>
  <w:style w:type="character" w:customStyle="1" w:styleId="ae">
    <w:name w:val="כותרת תחתונה תו"/>
    <w:basedOn w:val="a0"/>
    <w:link w:val="ad"/>
    <w:uiPriority w:val="99"/>
    <w:rsid w:val="0041767C"/>
  </w:style>
  <w:style w:type="paragraph" w:customStyle="1" w:styleId="P00">
    <w:name w:val="P00"/>
    <w:rsid w:val="00575BC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575BC4"/>
    <w:rPr>
      <w:rFonts w:ascii="Times New Roman" w:hAnsi="Times New Roman" w:cs="Times New Roman"/>
      <w:sz w:val="20"/>
      <w:szCs w:val="26"/>
    </w:rPr>
  </w:style>
  <w:style w:type="paragraph" w:customStyle="1" w:styleId="big-header">
    <w:name w:val="big-header"/>
    <w:basedOn w:val="a"/>
    <w:rsid w:val="00A54B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FrankRuehl"/>
      <w:noProof/>
      <w:sz w:val="20"/>
      <w:szCs w:val="3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1509</Words>
  <Characters>7546</Characters>
  <Application>Microsoft Office Word</Application>
  <DocSecurity>0</DocSecurity>
  <Lines>62</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masua</dc:creator>
  <cp:lastModifiedBy>Hefziba</cp:lastModifiedBy>
  <cp:revision>5</cp:revision>
  <cp:lastPrinted>2016-06-20T12:21:00Z</cp:lastPrinted>
  <dcterms:created xsi:type="dcterms:W3CDTF">2017-07-23T06:30:00Z</dcterms:created>
  <dcterms:modified xsi:type="dcterms:W3CDTF">2017-07-23T08:28:00Z</dcterms:modified>
</cp:coreProperties>
</file>